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5F235" w14:textId="77777777" w:rsidR="00182C6B" w:rsidRPr="009815E0" w:rsidRDefault="00182C6B" w:rsidP="00182C6B">
      <w:pPr>
        <w:spacing w:after="120"/>
      </w:pPr>
      <w:r>
        <w:t>Naczyk, Marek</w:t>
      </w:r>
    </w:p>
    <w:p w14:paraId="4629D35D" w14:textId="77777777" w:rsidR="00182C6B" w:rsidRPr="009815E0" w:rsidRDefault="00182C6B" w:rsidP="00182C6B">
      <w:pPr>
        <w:spacing w:after="120"/>
        <w:jc w:val="center"/>
        <w:rPr>
          <w:b/>
        </w:rPr>
      </w:pPr>
      <w:r w:rsidRPr="009815E0">
        <w:rPr>
          <w:b/>
        </w:rPr>
        <w:t>Taking back control: Comprador bankers and managerial developmentalism in Poland</w:t>
      </w:r>
    </w:p>
    <w:p w14:paraId="4D9E7738" w14:textId="77777777" w:rsidR="00182C6B" w:rsidRPr="009815E0" w:rsidRDefault="00182C6B" w:rsidP="00182C6B">
      <w:pPr>
        <w:spacing w:after="120"/>
        <w:jc w:val="center"/>
        <w:rPr>
          <w:i/>
        </w:rPr>
      </w:pPr>
      <w:r w:rsidRPr="009815E0">
        <w:rPr>
          <w:i/>
        </w:rPr>
        <w:t>Review of International Political Economy</w:t>
      </w:r>
    </w:p>
    <w:p w14:paraId="73ED55EA" w14:textId="77777777" w:rsidR="00182C6B" w:rsidRDefault="00182C6B" w:rsidP="00182C6B">
      <w:pPr>
        <w:pStyle w:val="TOC1"/>
        <w:tabs>
          <w:tab w:val="right" w:leader="dot" w:pos="8630"/>
        </w:tabs>
      </w:pPr>
    </w:p>
    <w:p w14:paraId="3338EFE3" w14:textId="77777777" w:rsidR="004B1756" w:rsidRPr="005301ED" w:rsidRDefault="004B1756" w:rsidP="004B1756">
      <w:pPr>
        <w:pStyle w:val="TOC1"/>
        <w:tabs>
          <w:tab w:val="right" w:leader="dot" w:pos="8630"/>
        </w:tabs>
        <w:jc w:val="center"/>
        <w:rPr>
          <w:u w:val="single"/>
        </w:rPr>
      </w:pPr>
      <w:bookmarkStart w:id="0" w:name="_GoBack"/>
      <w:r w:rsidRPr="005301ED">
        <w:rPr>
          <w:u w:val="single"/>
        </w:rPr>
        <w:t>APPENDIX A.3.</w:t>
      </w:r>
    </w:p>
    <w:p w14:paraId="2A57A70A" w14:textId="77777777" w:rsidR="004B1756" w:rsidRPr="005301ED" w:rsidRDefault="004B1756" w:rsidP="004B1756">
      <w:pPr>
        <w:pStyle w:val="TOC1"/>
        <w:tabs>
          <w:tab w:val="right" w:leader="dot" w:pos="8630"/>
        </w:tabs>
        <w:jc w:val="center"/>
        <w:rPr>
          <w:u w:val="single"/>
        </w:rPr>
      </w:pPr>
      <w:r w:rsidRPr="005301ED">
        <w:rPr>
          <w:u w:val="single"/>
        </w:rPr>
        <w:t>Outcomes to be explained</w:t>
      </w:r>
    </w:p>
    <w:bookmarkEnd w:id="0"/>
    <w:p w14:paraId="7FB000B9" w14:textId="77777777" w:rsidR="00EB6FBD" w:rsidRDefault="00EB6FBD"/>
    <w:p w14:paraId="1E18AE19" w14:textId="77777777" w:rsidR="004B1756" w:rsidRDefault="004B1756"/>
    <w:p w14:paraId="1F9FFEAB" w14:textId="77777777" w:rsidR="003547C4" w:rsidRDefault="001B48D2">
      <w:pPr>
        <w:pStyle w:val="TOC1"/>
        <w:tabs>
          <w:tab w:val="right" w:leader="dot" w:pos="8630"/>
        </w:tabs>
        <w:rPr>
          <w:b w:val="0"/>
          <w:noProof/>
          <w:lang w:eastAsia="ja-JP"/>
        </w:rPr>
      </w:pPr>
      <w:r>
        <w:fldChar w:fldCharType="begin"/>
      </w:r>
      <w:r>
        <w:instrText xml:space="preserve"> TOC \o "1-4" </w:instrText>
      </w:r>
      <w:r>
        <w:fldChar w:fldCharType="separate"/>
      </w:r>
      <w:r w:rsidR="003547C4" w:rsidRPr="00296664">
        <w:rPr>
          <w:rFonts w:ascii="Cambria" w:hAnsi="Cambria"/>
          <w:noProof/>
        </w:rPr>
        <w:t>A.3.1. Repolonization of the banking sector</w:t>
      </w:r>
      <w:r w:rsidR="003547C4">
        <w:rPr>
          <w:noProof/>
        </w:rPr>
        <w:tab/>
      </w:r>
      <w:r w:rsidR="003547C4">
        <w:rPr>
          <w:noProof/>
        </w:rPr>
        <w:fldChar w:fldCharType="begin"/>
      </w:r>
      <w:r w:rsidR="003547C4">
        <w:rPr>
          <w:noProof/>
        </w:rPr>
        <w:instrText xml:space="preserve"> PAGEREF _Toc470120878 \h </w:instrText>
      </w:r>
      <w:r w:rsidR="003547C4">
        <w:rPr>
          <w:noProof/>
        </w:rPr>
      </w:r>
      <w:r w:rsidR="003547C4">
        <w:rPr>
          <w:noProof/>
        </w:rPr>
        <w:fldChar w:fldCharType="separate"/>
      </w:r>
      <w:r w:rsidR="003547C4">
        <w:rPr>
          <w:noProof/>
        </w:rPr>
        <w:t>2</w:t>
      </w:r>
      <w:r w:rsidR="003547C4">
        <w:rPr>
          <w:noProof/>
        </w:rPr>
        <w:fldChar w:fldCharType="end"/>
      </w:r>
    </w:p>
    <w:p w14:paraId="57F9A7D5" w14:textId="77777777" w:rsidR="003547C4" w:rsidRDefault="003547C4">
      <w:pPr>
        <w:pStyle w:val="TOC2"/>
        <w:tabs>
          <w:tab w:val="right" w:leader="dot" w:pos="8630"/>
        </w:tabs>
        <w:rPr>
          <w:b w:val="0"/>
          <w:noProof/>
          <w:sz w:val="24"/>
          <w:szCs w:val="24"/>
          <w:lang w:eastAsia="ja-JP"/>
        </w:rPr>
      </w:pPr>
      <w:r w:rsidRPr="00296664">
        <w:rPr>
          <w:rFonts w:ascii="Cambria" w:hAnsi="Cambria"/>
          <w:b w:val="0"/>
          <w:i/>
          <w:noProof/>
        </w:rPr>
        <w:t>A.3.1.1. Domestic/foreign control over Polish banking assets, 1993-2019</w:t>
      </w:r>
      <w:r>
        <w:rPr>
          <w:noProof/>
        </w:rPr>
        <w:tab/>
      </w:r>
      <w:r>
        <w:rPr>
          <w:noProof/>
        </w:rPr>
        <w:fldChar w:fldCharType="begin"/>
      </w:r>
      <w:r>
        <w:rPr>
          <w:noProof/>
        </w:rPr>
        <w:instrText xml:space="preserve"> PAGEREF _Toc470120879 \h </w:instrText>
      </w:r>
      <w:r>
        <w:rPr>
          <w:noProof/>
        </w:rPr>
      </w:r>
      <w:r>
        <w:rPr>
          <w:noProof/>
        </w:rPr>
        <w:fldChar w:fldCharType="separate"/>
      </w:r>
      <w:r>
        <w:rPr>
          <w:noProof/>
        </w:rPr>
        <w:t>2</w:t>
      </w:r>
      <w:r>
        <w:rPr>
          <w:noProof/>
        </w:rPr>
        <w:fldChar w:fldCharType="end"/>
      </w:r>
    </w:p>
    <w:p w14:paraId="1FA87BAF" w14:textId="77777777" w:rsidR="003547C4" w:rsidRDefault="003547C4">
      <w:pPr>
        <w:pStyle w:val="TOC2"/>
        <w:tabs>
          <w:tab w:val="right" w:leader="dot" w:pos="8630"/>
        </w:tabs>
        <w:rPr>
          <w:b w:val="0"/>
          <w:noProof/>
          <w:sz w:val="24"/>
          <w:szCs w:val="24"/>
          <w:lang w:eastAsia="ja-JP"/>
        </w:rPr>
      </w:pPr>
      <w:r w:rsidRPr="00296664">
        <w:rPr>
          <w:rFonts w:ascii="Cambria" w:hAnsi="Cambria"/>
          <w:b w:val="0"/>
          <w:i/>
          <w:noProof/>
        </w:rPr>
        <w:t>A.3.1.2. Repolonization and remagyarazation compared</w:t>
      </w:r>
      <w:r>
        <w:rPr>
          <w:noProof/>
        </w:rPr>
        <w:tab/>
      </w:r>
      <w:r>
        <w:rPr>
          <w:noProof/>
        </w:rPr>
        <w:fldChar w:fldCharType="begin"/>
      </w:r>
      <w:r>
        <w:rPr>
          <w:noProof/>
        </w:rPr>
        <w:instrText xml:space="preserve"> PAGEREF _Toc470120880 \h </w:instrText>
      </w:r>
      <w:r>
        <w:rPr>
          <w:noProof/>
        </w:rPr>
      </w:r>
      <w:r>
        <w:rPr>
          <w:noProof/>
        </w:rPr>
        <w:fldChar w:fldCharType="separate"/>
      </w:r>
      <w:r>
        <w:rPr>
          <w:noProof/>
        </w:rPr>
        <w:t>3</w:t>
      </w:r>
      <w:r>
        <w:rPr>
          <w:noProof/>
        </w:rPr>
        <w:fldChar w:fldCharType="end"/>
      </w:r>
    </w:p>
    <w:p w14:paraId="1D9DB23B" w14:textId="77777777" w:rsidR="003547C4" w:rsidRDefault="003547C4">
      <w:pPr>
        <w:pStyle w:val="TOC1"/>
        <w:tabs>
          <w:tab w:val="right" w:leader="dot" w:pos="8630"/>
        </w:tabs>
        <w:rPr>
          <w:b w:val="0"/>
          <w:noProof/>
          <w:lang w:eastAsia="ja-JP"/>
        </w:rPr>
      </w:pPr>
      <w:r w:rsidRPr="00296664">
        <w:rPr>
          <w:rFonts w:ascii="Cambria" w:hAnsi="Cambria"/>
          <w:noProof/>
        </w:rPr>
        <w:t>A.3.2. The reform of development institutions</w:t>
      </w:r>
      <w:r>
        <w:rPr>
          <w:noProof/>
        </w:rPr>
        <w:tab/>
      </w:r>
      <w:r>
        <w:rPr>
          <w:noProof/>
        </w:rPr>
        <w:fldChar w:fldCharType="begin"/>
      </w:r>
      <w:r>
        <w:rPr>
          <w:noProof/>
        </w:rPr>
        <w:instrText xml:space="preserve"> PAGEREF _Toc470120881 \h </w:instrText>
      </w:r>
      <w:r>
        <w:rPr>
          <w:noProof/>
        </w:rPr>
      </w:r>
      <w:r>
        <w:rPr>
          <w:noProof/>
        </w:rPr>
        <w:fldChar w:fldCharType="separate"/>
      </w:r>
      <w:r>
        <w:rPr>
          <w:noProof/>
        </w:rPr>
        <w:t>5</w:t>
      </w:r>
      <w:r>
        <w:rPr>
          <w:noProof/>
        </w:rPr>
        <w:fldChar w:fldCharType="end"/>
      </w:r>
    </w:p>
    <w:p w14:paraId="45CB4A1D" w14:textId="77777777" w:rsidR="003547C4" w:rsidRDefault="003547C4">
      <w:pPr>
        <w:pStyle w:val="TOC2"/>
        <w:tabs>
          <w:tab w:val="right" w:leader="dot" w:pos="8630"/>
        </w:tabs>
        <w:rPr>
          <w:b w:val="0"/>
          <w:noProof/>
          <w:sz w:val="24"/>
          <w:szCs w:val="24"/>
          <w:lang w:eastAsia="ja-JP"/>
        </w:rPr>
      </w:pPr>
      <w:r w:rsidRPr="00296664">
        <w:rPr>
          <w:rFonts w:ascii="Cambria" w:hAnsi="Cambria"/>
          <w:b w:val="0"/>
          <w:i/>
          <w:noProof/>
        </w:rPr>
        <w:t>A.3.2.1 Polish system of development institutions</w:t>
      </w:r>
      <w:r>
        <w:rPr>
          <w:noProof/>
        </w:rPr>
        <w:tab/>
      </w:r>
      <w:r>
        <w:rPr>
          <w:noProof/>
        </w:rPr>
        <w:fldChar w:fldCharType="begin"/>
      </w:r>
      <w:r>
        <w:rPr>
          <w:noProof/>
        </w:rPr>
        <w:instrText xml:space="preserve"> PAGEREF _Toc470120882 \h </w:instrText>
      </w:r>
      <w:r>
        <w:rPr>
          <w:noProof/>
        </w:rPr>
      </w:r>
      <w:r>
        <w:rPr>
          <w:noProof/>
        </w:rPr>
        <w:fldChar w:fldCharType="separate"/>
      </w:r>
      <w:r>
        <w:rPr>
          <w:noProof/>
        </w:rPr>
        <w:t>5</w:t>
      </w:r>
      <w:r>
        <w:rPr>
          <w:noProof/>
        </w:rPr>
        <w:fldChar w:fldCharType="end"/>
      </w:r>
    </w:p>
    <w:p w14:paraId="22E71BB8" w14:textId="77777777" w:rsidR="003547C4" w:rsidRDefault="003547C4">
      <w:pPr>
        <w:pStyle w:val="TOC2"/>
        <w:tabs>
          <w:tab w:val="right" w:leader="dot" w:pos="8630"/>
        </w:tabs>
        <w:rPr>
          <w:b w:val="0"/>
          <w:noProof/>
          <w:sz w:val="24"/>
          <w:szCs w:val="24"/>
          <w:lang w:eastAsia="ja-JP"/>
        </w:rPr>
      </w:pPr>
      <w:r w:rsidRPr="00296664">
        <w:rPr>
          <w:rFonts w:ascii="Cambria" w:hAnsi="Cambria"/>
          <w:b w:val="0"/>
          <w:i/>
          <w:noProof/>
        </w:rPr>
        <w:t>A.3.2.2. Supervisory boards of development banks in selected EU countries</w:t>
      </w:r>
      <w:r>
        <w:rPr>
          <w:noProof/>
        </w:rPr>
        <w:tab/>
      </w:r>
      <w:r>
        <w:rPr>
          <w:noProof/>
        </w:rPr>
        <w:fldChar w:fldCharType="begin"/>
      </w:r>
      <w:r>
        <w:rPr>
          <w:noProof/>
        </w:rPr>
        <w:instrText xml:space="preserve"> PAGEREF _Toc470120883 \h </w:instrText>
      </w:r>
      <w:r>
        <w:rPr>
          <w:noProof/>
        </w:rPr>
      </w:r>
      <w:r>
        <w:rPr>
          <w:noProof/>
        </w:rPr>
        <w:fldChar w:fldCharType="separate"/>
      </w:r>
      <w:r>
        <w:rPr>
          <w:noProof/>
        </w:rPr>
        <w:t>6</w:t>
      </w:r>
      <w:r>
        <w:rPr>
          <w:noProof/>
        </w:rPr>
        <w:fldChar w:fldCharType="end"/>
      </w:r>
    </w:p>
    <w:p w14:paraId="171F2BE0" w14:textId="77777777" w:rsidR="003547C4" w:rsidRDefault="003547C4">
      <w:pPr>
        <w:pStyle w:val="TOC2"/>
        <w:tabs>
          <w:tab w:val="right" w:leader="dot" w:pos="8630"/>
        </w:tabs>
        <w:rPr>
          <w:b w:val="0"/>
          <w:noProof/>
          <w:sz w:val="24"/>
          <w:szCs w:val="24"/>
          <w:lang w:eastAsia="ja-JP"/>
        </w:rPr>
      </w:pPr>
      <w:r w:rsidRPr="00296664">
        <w:rPr>
          <w:rFonts w:ascii="Cambria" w:hAnsi="Cambria"/>
          <w:b w:val="0"/>
          <w:i/>
          <w:noProof/>
        </w:rPr>
        <w:t>A.3.2.3. Assets of selected Polish development institutions as % of GDP, 1999-2019</w:t>
      </w:r>
      <w:r>
        <w:rPr>
          <w:noProof/>
        </w:rPr>
        <w:tab/>
      </w:r>
      <w:r>
        <w:rPr>
          <w:noProof/>
        </w:rPr>
        <w:fldChar w:fldCharType="begin"/>
      </w:r>
      <w:r>
        <w:rPr>
          <w:noProof/>
        </w:rPr>
        <w:instrText xml:space="preserve"> PAGEREF _Toc470120884 \h </w:instrText>
      </w:r>
      <w:r>
        <w:rPr>
          <w:noProof/>
        </w:rPr>
      </w:r>
      <w:r>
        <w:rPr>
          <w:noProof/>
        </w:rPr>
        <w:fldChar w:fldCharType="separate"/>
      </w:r>
      <w:r>
        <w:rPr>
          <w:noProof/>
        </w:rPr>
        <w:t>9</w:t>
      </w:r>
      <w:r>
        <w:rPr>
          <w:noProof/>
        </w:rPr>
        <w:fldChar w:fldCharType="end"/>
      </w:r>
    </w:p>
    <w:p w14:paraId="21E2F589" w14:textId="77777777" w:rsidR="003547C4" w:rsidRDefault="003547C4">
      <w:pPr>
        <w:pStyle w:val="TOC2"/>
        <w:tabs>
          <w:tab w:val="right" w:leader="dot" w:pos="8630"/>
        </w:tabs>
        <w:rPr>
          <w:b w:val="0"/>
          <w:noProof/>
          <w:sz w:val="24"/>
          <w:szCs w:val="24"/>
          <w:lang w:eastAsia="ja-JP"/>
        </w:rPr>
      </w:pPr>
      <w:r w:rsidRPr="00296664">
        <w:rPr>
          <w:rFonts w:ascii="Cambria" w:hAnsi="Cambria"/>
          <w:b w:val="0"/>
          <w:i/>
          <w:noProof/>
        </w:rPr>
        <w:t>A.3.2.4. Assets of V4 development banks as % of GDP, 1999-2019</w:t>
      </w:r>
      <w:r>
        <w:rPr>
          <w:noProof/>
        </w:rPr>
        <w:tab/>
      </w:r>
      <w:r>
        <w:rPr>
          <w:noProof/>
        </w:rPr>
        <w:fldChar w:fldCharType="begin"/>
      </w:r>
      <w:r>
        <w:rPr>
          <w:noProof/>
        </w:rPr>
        <w:instrText xml:space="preserve"> PAGEREF _Toc470120885 \h </w:instrText>
      </w:r>
      <w:r>
        <w:rPr>
          <w:noProof/>
        </w:rPr>
      </w:r>
      <w:r>
        <w:rPr>
          <w:noProof/>
        </w:rPr>
        <w:fldChar w:fldCharType="separate"/>
      </w:r>
      <w:r>
        <w:rPr>
          <w:noProof/>
        </w:rPr>
        <w:t>10</w:t>
      </w:r>
      <w:r>
        <w:rPr>
          <w:noProof/>
        </w:rPr>
        <w:fldChar w:fldCharType="end"/>
      </w:r>
    </w:p>
    <w:p w14:paraId="1AF25559" w14:textId="77777777" w:rsidR="003547C4" w:rsidRDefault="003547C4">
      <w:pPr>
        <w:pStyle w:val="TOC1"/>
        <w:tabs>
          <w:tab w:val="right" w:leader="dot" w:pos="8630"/>
        </w:tabs>
        <w:rPr>
          <w:b w:val="0"/>
          <w:noProof/>
          <w:lang w:eastAsia="ja-JP"/>
        </w:rPr>
      </w:pPr>
      <w:r w:rsidRPr="00296664">
        <w:rPr>
          <w:rFonts w:ascii="Cambria" w:hAnsi="Cambria"/>
          <w:noProof/>
        </w:rPr>
        <w:t>A.3.3. New industrial policies</w:t>
      </w:r>
      <w:r>
        <w:rPr>
          <w:noProof/>
        </w:rPr>
        <w:tab/>
      </w:r>
      <w:r>
        <w:rPr>
          <w:noProof/>
        </w:rPr>
        <w:fldChar w:fldCharType="begin"/>
      </w:r>
      <w:r>
        <w:rPr>
          <w:noProof/>
        </w:rPr>
        <w:instrText xml:space="preserve"> PAGEREF _Toc470120886 \h </w:instrText>
      </w:r>
      <w:r>
        <w:rPr>
          <w:noProof/>
        </w:rPr>
      </w:r>
      <w:r>
        <w:rPr>
          <w:noProof/>
        </w:rPr>
        <w:fldChar w:fldCharType="separate"/>
      </w:r>
      <w:r>
        <w:rPr>
          <w:noProof/>
        </w:rPr>
        <w:t>11</w:t>
      </w:r>
      <w:r>
        <w:rPr>
          <w:noProof/>
        </w:rPr>
        <w:fldChar w:fldCharType="end"/>
      </w:r>
    </w:p>
    <w:p w14:paraId="5DC1033C" w14:textId="77777777" w:rsidR="003547C4" w:rsidRDefault="003547C4">
      <w:pPr>
        <w:pStyle w:val="TOC2"/>
        <w:tabs>
          <w:tab w:val="right" w:leader="dot" w:pos="8630"/>
        </w:tabs>
        <w:rPr>
          <w:b w:val="0"/>
          <w:noProof/>
          <w:sz w:val="24"/>
          <w:szCs w:val="24"/>
          <w:lang w:eastAsia="ja-JP"/>
        </w:rPr>
      </w:pPr>
      <w:r w:rsidRPr="00296664">
        <w:rPr>
          <w:rFonts w:ascii="Cambria" w:hAnsi="Cambria"/>
          <w:b w:val="0"/>
          <w:i/>
          <w:noProof/>
        </w:rPr>
        <w:t>A.3.3.1. “Flagship projects” defined in the 2017 Strategy for Responsible Development</w:t>
      </w:r>
      <w:r>
        <w:rPr>
          <w:noProof/>
        </w:rPr>
        <w:tab/>
      </w:r>
      <w:r>
        <w:rPr>
          <w:noProof/>
        </w:rPr>
        <w:fldChar w:fldCharType="begin"/>
      </w:r>
      <w:r>
        <w:rPr>
          <w:noProof/>
        </w:rPr>
        <w:instrText xml:space="preserve"> PAGEREF _Toc470120887 \h </w:instrText>
      </w:r>
      <w:r>
        <w:rPr>
          <w:noProof/>
        </w:rPr>
      </w:r>
      <w:r>
        <w:rPr>
          <w:noProof/>
        </w:rPr>
        <w:fldChar w:fldCharType="separate"/>
      </w:r>
      <w:r>
        <w:rPr>
          <w:noProof/>
        </w:rPr>
        <w:t>11</w:t>
      </w:r>
      <w:r>
        <w:rPr>
          <w:noProof/>
        </w:rPr>
        <w:fldChar w:fldCharType="end"/>
      </w:r>
    </w:p>
    <w:p w14:paraId="33DBB658" w14:textId="77777777" w:rsidR="004B1756" w:rsidRDefault="001B48D2">
      <w:r>
        <w:fldChar w:fldCharType="end"/>
      </w:r>
    </w:p>
    <w:p w14:paraId="0EEF2FD4" w14:textId="77777777" w:rsidR="004B1756" w:rsidRDefault="004B1756">
      <w:r>
        <w:br w:type="page"/>
      </w:r>
    </w:p>
    <w:p w14:paraId="090A9409" w14:textId="77777777" w:rsidR="004B1756" w:rsidRPr="00976F4C" w:rsidRDefault="00976F4C" w:rsidP="00976F4C">
      <w:pPr>
        <w:pStyle w:val="Heading1"/>
        <w:rPr>
          <w:rFonts w:ascii="Cambria" w:hAnsi="Cambria"/>
          <w:color w:val="auto"/>
          <w:sz w:val="24"/>
          <w:szCs w:val="24"/>
        </w:rPr>
      </w:pPr>
      <w:bookmarkStart w:id="1" w:name="_Toc462426482"/>
      <w:bookmarkStart w:id="2" w:name="_Toc462432537"/>
      <w:bookmarkStart w:id="3" w:name="_Toc470120878"/>
      <w:r w:rsidRPr="00976F4C">
        <w:rPr>
          <w:rFonts w:ascii="Cambria" w:hAnsi="Cambria"/>
          <w:color w:val="auto"/>
          <w:sz w:val="24"/>
          <w:szCs w:val="24"/>
        </w:rPr>
        <w:lastRenderedPageBreak/>
        <w:t xml:space="preserve">A.3.1. </w:t>
      </w:r>
      <w:bookmarkEnd w:id="1"/>
      <w:bookmarkEnd w:id="2"/>
      <w:r w:rsidRPr="00976F4C">
        <w:rPr>
          <w:rFonts w:ascii="Cambria" w:hAnsi="Cambria"/>
          <w:color w:val="auto"/>
          <w:sz w:val="24"/>
          <w:szCs w:val="24"/>
        </w:rPr>
        <w:t>Repolonization of the banking sector</w:t>
      </w:r>
      <w:bookmarkEnd w:id="3"/>
    </w:p>
    <w:p w14:paraId="75DDE3B3" w14:textId="77777777" w:rsidR="00976F4C" w:rsidRDefault="00976F4C">
      <w:pPr>
        <w:rPr>
          <w:rFonts w:ascii="Cambria" w:hAnsi="Cambria"/>
        </w:rPr>
      </w:pPr>
    </w:p>
    <w:p w14:paraId="4588A902" w14:textId="77777777" w:rsidR="007465F0" w:rsidRDefault="007465F0">
      <w:pPr>
        <w:rPr>
          <w:rFonts w:ascii="Cambria" w:hAnsi="Cambria"/>
        </w:rPr>
      </w:pPr>
    </w:p>
    <w:p w14:paraId="2712510E" w14:textId="57DA610F" w:rsidR="007465F0" w:rsidRPr="007465F0" w:rsidRDefault="003547C4" w:rsidP="007465F0">
      <w:pPr>
        <w:pStyle w:val="Heading2"/>
        <w:rPr>
          <w:rFonts w:ascii="Cambria" w:hAnsi="Cambria"/>
          <w:b w:val="0"/>
          <w:i/>
          <w:color w:val="auto"/>
          <w:sz w:val="24"/>
          <w:szCs w:val="24"/>
        </w:rPr>
      </w:pPr>
      <w:bookmarkStart w:id="4" w:name="_Toc470120879"/>
      <w:r>
        <w:rPr>
          <w:rFonts w:ascii="Cambria" w:hAnsi="Cambria"/>
          <w:b w:val="0"/>
          <w:i/>
          <w:color w:val="auto"/>
          <w:sz w:val="24"/>
          <w:szCs w:val="24"/>
        </w:rPr>
        <w:t xml:space="preserve">A.3.1.1. </w:t>
      </w:r>
      <w:r w:rsidR="008E7877">
        <w:rPr>
          <w:rFonts w:ascii="Cambria" w:hAnsi="Cambria"/>
          <w:b w:val="0"/>
          <w:i/>
          <w:color w:val="auto"/>
          <w:sz w:val="24"/>
          <w:szCs w:val="24"/>
        </w:rPr>
        <w:t>Domestic/f</w:t>
      </w:r>
      <w:r w:rsidR="007465F0" w:rsidRPr="007465F0">
        <w:rPr>
          <w:rFonts w:ascii="Cambria" w:hAnsi="Cambria"/>
          <w:b w:val="0"/>
          <w:i/>
          <w:color w:val="auto"/>
          <w:sz w:val="24"/>
          <w:szCs w:val="24"/>
        </w:rPr>
        <w:t>oreign control over</w:t>
      </w:r>
      <w:r w:rsidR="008E7877">
        <w:rPr>
          <w:rFonts w:ascii="Cambria" w:hAnsi="Cambria"/>
          <w:b w:val="0"/>
          <w:i/>
          <w:color w:val="auto"/>
          <w:sz w:val="24"/>
          <w:szCs w:val="24"/>
        </w:rPr>
        <w:t xml:space="preserve"> Polish</w:t>
      </w:r>
      <w:r w:rsidR="007465F0" w:rsidRPr="007465F0">
        <w:rPr>
          <w:rFonts w:ascii="Cambria" w:hAnsi="Cambria"/>
          <w:b w:val="0"/>
          <w:i/>
          <w:color w:val="auto"/>
          <w:sz w:val="24"/>
          <w:szCs w:val="24"/>
        </w:rPr>
        <w:t xml:space="preserve"> banking assets, 1993-2019</w:t>
      </w:r>
      <w:bookmarkEnd w:id="4"/>
    </w:p>
    <w:p w14:paraId="5C754056" w14:textId="77777777" w:rsidR="00976F4C" w:rsidRDefault="00976F4C"/>
    <w:p w14:paraId="0D13BC86" w14:textId="77777777" w:rsidR="007C7948" w:rsidRDefault="007C794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7465F0" w14:paraId="0F07428F" w14:textId="77777777" w:rsidTr="007465F0">
        <w:tc>
          <w:tcPr>
            <w:tcW w:w="8856" w:type="dxa"/>
          </w:tcPr>
          <w:p w14:paraId="02D3B65A" w14:textId="6BD8E1D4" w:rsidR="007465F0" w:rsidRPr="001E5AB6" w:rsidRDefault="007465F0" w:rsidP="00FF73F4">
            <w:pPr>
              <w:rPr>
                <w:rFonts w:ascii="Cambria" w:hAnsi="Cambria"/>
                <w:b/>
              </w:rPr>
            </w:pPr>
            <w:r>
              <w:rPr>
                <w:rFonts w:ascii="Cambria" w:hAnsi="Cambria"/>
                <w:b/>
              </w:rPr>
              <w:t>Banking assets controlled by domestic and foreign investors, 1993-2019 (% of total banking assets)</w:t>
            </w:r>
          </w:p>
        </w:tc>
      </w:tr>
      <w:tr w:rsidR="007465F0" w14:paraId="0C4D6ADD" w14:textId="77777777" w:rsidTr="007465F0">
        <w:tc>
          <w:tcPr>
            <w:tcW w:w="8856" w:type="dxa"/>
          </w:tcPr>
          <w:p w14:paraId="58E60B54" w14:textId="6A7ADD8F" w:rsidR="007465F0" w:rsidRDefault="007465F0" w:rsidP="00FF73F4">
            <w:pPr>
              <w:rPr>
                <w:rFonts w:ascii="Cambria" w:hAnsi="Cambria"/>
              </w:rPr>
            </w:pPr>
            <w:r>
              <w:rPr>
                <w:noProof/>
              </w:rPr>
              <w:drawing>
                <wp:inline distT="0" distB="0" distL="0" distR="0" wp14:anchorId="58CDB436" wp14:editId="66875AD9">
                  <wp:extent cx="5486400" cy="3900805"/>
                  <wp:effectExtent l="0" t="0" r="25400" b="361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7465F0" w14:paraId="2D3B58E2" w14:textId="77777777" w:rsidTr="007465F0">
        <w:tc>
          <w:tcPr>
            <w:tcW w:w="8856" w:type="dxa"/>
          </w:tcPr>
          <w:p w14:paraId="11094F7E" w14:textId="4F46CEDD" w:rsidR="007465F0" w:rsidRPr="001E5AB6" w:rsidRDefault="007465F0" w:rsidP="007465F0">
            <w:pPr>
              <w:rPr>
                <w:rFonts w:ascii="Cambria" w:hAnsi="Cambria"/>
                <w:sz w:val="20"/>
                <w:szCs w:val="20"/>
              </w:rPr>
            </w:pPr>
            <w:r w:rsidRPr="001E5AB6">
              <w:rPr>
                <w:rFonts w:ascii="Cambria" w:hAnsi="Cambria"/>
                <w:i/>
                <w:sz w:val="20"/>
                <w:szCs w:val="20"/>
              </w:rPr>
              <w:t>Source</w:t>
            </w:r>
            <w:r w:rsidRPr="001E5AB6">
              <w:rPr>
                <w:rFonts w:ascii="Cambria" w:hAnsi="Cambria"/>
                <w:sz w:val="20"/>
                <w:szCs w:val="20"/>
              </w:rPr>
              <w:t>: KNF (Polish Financial Supervision Authority)</w:t>
            </w:r>
          </w:p>
        </w:tc>
      </w:tr>
    </w:tbl>
    <w:p w14:paraId="78F70F8C" w14:textId="77777777" w:rsidR="007465F0" w:rsidRDefault="007465F0"/>
    <w:p w14:paraId="49340E76" w14:textId="77777777" w:rsidR="007C7948" w:rsidRDefault="007C7948"/>
    <w:p w14:paraId="6D1B9E08" w14:textId="578A7897" w:rsidR="007C7948" w:rsidRDefault="007C7948">
      <w:r>
        <w:br w:type="page"/>
      </w:r>
    </w:p>
    <w:p w14:paraId="7641110B" w14:textId="77777777" w:rsidR="007C7948" w:rsidRDefault="007C7948"/>
    <w:p w14:paraId="1A4D63B4" w14:textId="4A8949AE" w:rsidR="007C7948" w:rsidRPr="007C7948" w:rsidRDefault="003547C4" w:rsidP="007C7948">
      <w:pPr>
        <w:pStyle w:val="Heading2"/>
        <w:rPr>
          <w:rFonts w:ascii="Cambria" w:hAnsi="Cambria"/>
          <w:b w:val="0"/>
          <w:i/>
          <w:color w:val="auto"/>
          <w:sz w:val="24"/>
          <w:szCs w:val="24"/>
        </w:rPr>
      </w:pPr>
      <w:bookmarkStart w:id="5" w:name="_Toc470120880"/>
      <w:r>
        <w:rPr>
          <w:rFonts w:ascii="Cambria" w:hAnsi="Cambria"/>
          <w:b w:val="0"/>
          <w:i/>
          <w:color w:val="auto"/>
          <w:sz w:val="24"/>
          <w:szCs w:val="24"/>
        </w:rPr>
        <w:t xml:space="preserve">A.3.1.2. </w:t>
      </w:r>
      <w:r w:rsidR="007C7948" w:rsidRPr="007C7948">
        <w:rPr>
          <w:rFonts w:ascii="Cambria" w:hAnsi="Cambria"/>
          <w:b w:val="0"/>
          <w:i/>
          <w:color w:val="auto"/>
          <w:sz w:val="24"/>
          <w:szCs w:val="24"/>
        </w:rPr>
        <w:t>Repolonization and remagyarazation compared</w:t>
      </w:r>
      <w:bookmarkEnd w:id="5"/>
    </w:p>
    <w:p w14:paraId="0037AAA8" w14:textId="77777777" w:rsidR="007C7948" w:rsidRDefault="007C7948"/>
    <w:p w14:paraId="2F6D9D04" w14:textId="77777777" w:rsidR="007C7948" w:rsidRDefault="007C7948"/>
    <w:tbl>
      <w:tblPr>
        <w:tblStyle w:val="TableGrid"/>
        <w:tblW w:w="0" w:type="auto"/>
        <w:tblLook w:val="04A0" w:firstRow="1" w:lastRow="0" w:firstColumn="1" w:lastColumn="0" w:noHBand="0" w:noVBand="1"/>
      </w:tblPr>
      <w:tblGrid>
        <w:gridCol w:w="867"/>
        <w:gridCol w:w="2571"/>
        <w:gridCol w:w="2790"/>
        <w:gridCol w:w="2628"/>
      </w:tblGrid>
      <w:tr w:rsidR="007C7948" w14:paraId="2F6CD609" w14:textId="77777777" w:rsidTr="00D23891">
        <w:tc>
          <w:tcPr>
            <w:tcW w:w="8856" w:type="dxa"/>
            <w:gridSpan w:val="4"/>
            <w:tcBorders>
              <w:top w:val="nil"/>
              <w:left w:val="nil"/>
              <w:bottom w:val="single" w:sz="4" w:space="0" w:color="auto"/>
              <w:right w:val="nil"/>
            </w:tcBorders>
          </w:tcPr>
          <w:p w14:paraId="67B8965A" w14:textId="0A4A9F96" w:rsidR="007C7948" w:rsidRPr="00E470A5" w:rsidRDefault="007C7948" w:rsidP="003547C4">
            <w:pPr>
              <w:rPr>
                <w:rFonts w:ascii="Cambria" w:hAnsi="Cambria"/>
                <w:b/>
              </w:rPr>
            </w:pPr>
            <w:r>
              <w:rPr>
                <w:rFonts w:ascii="Cambria" w:hAnsi="Cambria"/>
                <w:b/>
              </w:rPr>
              <w:t>M&amp;As leading to the repolonization and remagyarization of the banking sector</w:t>
            </w:r>
          </w:p>
        </w:tc>
      </w:tr>
      <w:tr w:rsidR="007C7948" w14:paraId="4865F32D" w14:textId="77777777" w:rsidTr="00D23891">
        <w:tc>
          <w:tcPr>
            <w:tcW w:w="867" w:type="dxa"/>
            <w:tcBorders>
              <w:left w:val="nil"/>
              <w:right w:val="nil"/>
            </w:tcBorders>
          </w:tcPr>
          <w:p w14:paraId="7D5BF1DB" w14:textId="77777777" w:rsidR="007C7948" w:rsidRDefault="007C7948" w:rsidP="00FF73F4">
            <w:pPr>
              <w:rPr>
                <w:rFonts w:ascii="Cambria" w:hAnsi="Cambria"/>
              </w:rPr>
            </w:pPr>
          </w:p>
        </w:tc>
        <w:tc>
          <w:tcPr>
            <w:tcW w:w="2571" w:type="dxa"/>
            <w:tcBorders>
              <w:left w:val="nil"/>
              <w:right w:val="nil"/>
            </w:tcBorders>
          </w:tcPr>
          <w:p w14:paraId="4B5A4F8D" w14:textId="77777777" w:rsidR="007C7948" w:rsidRPr="00E470A5" w:rsidRDefault="007C7948" w:rsidP="00FF73F4">
            <w:pPr>
              <w:jc w:val="center"/>
              <w:rPr>
                <w:rFonts w:ascii="Cambria" w:hAnsi="Cambria"/>
                <w:b/>
              </w:rPr>
            </w:pPr>
            <w:r w:rsidRPr="00E470A5">
              <w:rPr>
                <w:rFonts w:ascii="Cambria" w:hAnsi="Cambria"/>
                <w:b/>
              </w:rPr>
              <w:t>Poland</w:t>
            </w:r>
          </w:p>
        </w:tc>
        <w:tc>
          <w:tcPr>
            <w:tcW w:w="5418" w:type="dxa"/>
            <w:gridSpan w:val="2"/>
            <w:tcBorders>
              <w:left w:val="nil"/>
              <w:right w:val="nil"/>
            </w:tcBorders>
          </w:tcPr>
          <w:p w14:paraId="62AAAAC3" w14:textId="77777777" w:rsidR="007C7948" w:rsidRPr="00E470A5" w:rsidRDefault="007C7948" w:rsidP="00FF73F4">
            <w:pPr>
              <w:jc w:val="center"/>
              <w:rPr>
                <w:rFonts w:ascii="Cambria" w:hAnsi="Cambria"/>
                <w:b/>
              </w:rPr>
            </w:pPr>
            <w:r>
              <w:rPr>
                <w:rFonts w:ascii="Cambria" w:hAnsi="Cambria"/>
                <w:b/>
              </w:rPr>
              <w:t>Hungary</w:t>
            </w:r>
          </w:p>
        </w:tc>
      </w:tr>
      <w:tr w:rsidR="007C7948" w14:paraId="02AA0104" w14:textId="77777777" w:rsidTr="00D23891">
        <w:tc>
          <w:tcPr>
            <w:tcW w:w="867" w:type="dxa"/>
            <w:tcBorders>
              <w:left w:val="nil"/>
              <w:right w:val="nil"/>
            </w:tcBorders>
          </w:tcPr>
          <w:p w14:paraId="0A2ED440" w14:textId="77777777" w:rsidR="007C7948" w:rsidRPr="00E470A5" w:rsidRDefault="007C7948" w:rsidP="00FF73F4">
            <w:pPr>
              <w:rPr>
                <w:rFonts w:ascii="Cambria" w:hAnsi="Cambria"/>
                <w:b/>
              </w:rPr>
            </w:pPr>
          </w:p>
        </w:tc>
        <w:tc>
          <w:tcPr>
            <w:tcW w:w="2571" w:type="dxa"/>
            <w:tcBorders>
              <w:left w:val="nil"/>
              <w:right w:val="nil"/>
            </w:tcBorders>
          </w:tcPr>
          <w:p w14:paraId="419158FE" w14:textId="77777777" w:rsidR="007C7948" w:rsidRPr="00A27167" w:rsidRDefault="007C7948" w:rsidP="00FF73F4">
            <w:pPr>
              <w:jc w:val="center"/>
              <w:rPr>
                <w:rFonts w:ascii="Cambria" w:hAnsi="Cambria"/>
                <w:i/>
              </w:rPr>
            </w:pPr>
            <w:r>
              <w:rPr>
                <w:rFonts w:ascii="Cambria" w:hAnsi="Cambria"/>
                <w:i/>
              </w:rPr>
              <w:t>Re-nationalization</w:t>
            </w:r>
          </w:p>
        </w:tc>
        <w:tc>
          <w:tcPr>
            <w:tcW w:w="2790" w:type="dxa"/>
            <w:tcBorders>
              <w:left w:val="nil"/>
              <w:right w:val="nil"/>
            </w:tcBorders>
          </w:tcPr>
          <w:p w14:paraId="000FD587" w14:textId="77777777" w:rsidR="007C7948" w:rsidRPr="00512B64" w:rsidRDefault="007C7948" w:rsidP="00FF73F4">
            <w:pPr>
              <w:jc w:val="center"/>
              <w:rPr>
                <w:rFonts w:ascii="Cambria" w:hAnsi="Cambria"/>
                <w:i/>
              </w:rPr>
            </w:pPr>
            <w:r w:rsidRPr="00512B64">
              <w:rPr>
                <w:rFonts w:ascii="Cambria" w:hAnsi="Cambria"/>
                <w:i/>
              </w:rPr>
              <w:t>Re-nationalization</w:t>
            </w:r>
          </w:p>
        </w:tc>
        <w:tc>
          <w:tcPr>
            <w:tcW w:w="2628" w:type="dxa"/>
            <w:tcBorders>
              <w:left w:val="nil"/>
              <w:right w:val="nil"/>
            </w:tcBorders>
          </w:tcPr>
          <w:p w14:paraId="7A7F59EE" w14:textId="77777777" w:rsidR="007C7948" w:rsidRPr="00A27167" w:rsidRDefault="007C7948" w:rsidP="00FF73F4">
            <w:pPr>
              <w:jc w:val="center"/>
              <w:rPr>
                <w:rFonts w:ascii="Cambria" w:hAnsi="Cambria"/>
                <w:i/>
              </w:rPr>
            </w:pPr>
            <w:r>
              <w:rPr>
                <w:rFonts w:ascii="Cambria" w:hAnsi="Cambria"/>
                <w:i/>
              </w:rPr>
              <w:t>Re-privatization</w:t>
            </w:r>
          </w:p>
        </w:tc>
      </w:tr>
      <w:tr w:rsidR="007C7948" w14:paraId="368F84A0" w14:textId="77777777" w:rsidTr="00D23891">
        <w:tc>
          <w:tcPr>
            <w:tcW w:w="867" w:type="dxa"/>
            <w:tcBorders>
              <w:left w:val="nil"/>
              <w:right w:val="nil"/>
            </w:tcBorders>
          </w:tcPr>
          <w:p w14:paraId="4EF5B9D0" w14:textId="77777777" w:rsidR="007C7948" w:rsidRPr="00E470A5" w:rsidRDefault="007C7948" w:rsidP="00FF73F4">
            <w:pPr>
              <w:rPr>
                <w:rFonts w:ascii="Cambria" w:hAnsi="Cambria"/>
                <w:b/>
              </w:rPr>
            </w:pPr>
            <w:r w:rsidRPr="00E470A5">
              <w:rPr>
                <w:rFonts w:ascii="Cambria" w:hAnsi="Cambria"/>
                <w:b/>
              </w:rPr>
              <w:t>2017</w:t>
            </w:r>
          </w:p>
        </w:tc>
        <w:tc>
          <w:tcPr>
            <w:tcW w:w="2571" w:type="dxa"/>
            <w:tcBorders>
              <w:left w:val="nil"/>
              <w:right w:val="nil"/>
            </w:tcBorders>
          </w:tcPr>
          <w:p w14:paraId="43E645B8" w14:textId="77777777" w:rsidR="007C7948" w:rsidRDefault="007C7948" w:rsidP="00FF73F4">
            <w:pPr>
              <w:rPr>
                <w:rFonts w:ascii="Cambria" w:hAnsi="Cambria"/>
              </w:rPr>
            </w:pPr>
            <w:r w:rsidRPr="00A27167">
              <w:rPr>
                <w:rFonts w:ascii="Cambria" w:hAnsi="Cambria"/>
                <w:i/>
              </w:rPr>
              <w:t>Bank Pekao S</w:t>
            </w:r>
            <w:r>
              <w:rPr>
                <w:rFonts w:ascii="Cambria" w:hAnsi="Cambria"/>
                <w:i/>
              </w:rPr>
              <w:t>.</w:t>
            </w:r>
            <w:r w:rsidRPr="00A27167">
              <w:rPr>
                <w:rFonts w:ascii="Cambria" w:hAnsi="Cambria"/>
                <w:i/>
              </w:rPr>
              <w:t>A</w:t>
            </w:r>
            <w:r>
              <w:rPr>
                <w:rFonts w:ascii="Cambria" w:hAnsi="Cambria"/>
                <w:i/>
              </w:rPr>
              <w:t>.</w:t>
            </w:r>
            <w:r>
              <w:rPr>
                <w:rFonts w:ascii="Cambria" w:hAnsi="Cambria"/>
              </w:rPr>
              <w:t>:</w:t>
            </w:r>
          </w:p>
          <w:p w14:paraId="740D7690" w14:textId="77777777" w:rsidR="007C7948" w:rsidRDefault="007C7948" w:rsidP="00FF73F4">
            <w:pPr>
              <w:rPr>
                <w:rFonts w:ascii="Cambria" w:hAnsi="Cambria"/>
              </w:rPr>
            </w:pPr>
            <w:r>
              <w:rPr>
                <w:rFonts w:ascii="Cambria" w:hAnsi="Cambria"/>
              </w:rPr>
              <w:t>UniCredit S.p.A. sells 20% stake to state-controlled PZU S.A. and 12.8% stake to Polish Development Fund (PFR)</w:t>
            </w:r>
          </w:p>
        </w:tc>
        <w:tc>
          <w:tcPr>
            <w:tcW w:w="2790" w:type="dxa"/>
            <w:tcBorders>
              <w:left w:val="nil"/>
              <w:right w:val="nil"/>
            </w:tcBorders>
          </w:tcPr>
          <w:p w14:paraId="438A6088" w14:textId="77777777" w:rsidR="007C7948" w:rsidRDefault="007C7948" w:rsidP="00FF73F4">
            <w:pPr>
              <w:rPr>
                <w:rFonts w:ascii="Cambria" w:hAnsi="Cambria"/>
              </w:rPr>
            </w:pPr>
          </w:p>
        </w:tc>
        <w:tc>
          <w:tcPr>
            <w:tcW w:w="2628" w:type="dxa"/>
            <w:tcBorders>
              <w:left w:val="nil"/>
              <w:right w:val="nil"/>
            </w:tcBorders>
          </w:tcPr>
          <w:p w14:paraId="2EA622BD" w14:textId="77777777" w:rsidR="007C7948" w:rsidRPr="00A27167" w:rsidRDefault="007C7948" w:rsidP="00FF73F4">
            <w:pPr>
              <w:rPr>
                <w:rFonts w:ascii="Cambria" w:hAnsi="Cambria"/>
                <w:i/>
              </w:rPr>
            </w:pPr>
          </w:p>
        </w:tc>
      </w:tr>
      <w:tr w:rsidR="007C7948" w14:paraId="3937EA0E" w14:textId="77777777" w:rsidTr="00D23891">
        <w:tc>
          <w:tcPr>
            <w:tcW w:w="867" w:type="dxa"/>
            <w:tcBorders>
              <w:left w:val="nil"/>
              <w:right w:val="nil"/>
            </w:tcBorders>
          </w:tcPr>
          <w:p w14:paraId="3ADFD168" w14:textId="77777777" w:rsidR="007C7948" w:rsidRPr="00E470A5" w:rsidRDefault="007C7948" w:rsidP="00FF73F4">
            <w:pPr>
              <w:rPr>
                <w:rFonts w:ascii="Cambria" w:hAnsi="Cambria"/>
                <w:b/>
              </w:rPr>
            </w:pPr>
            <w:r w:rsidRPr="00E470A5">
              <w:rPr>
                <w:rFonts w:ascii="Cambria" w:hAnsi="Cambria"/>
                <w:b/>
              </w:rPr>
              <w:t>2016</w:t>
            </w:r>
          </w:p>
        </w:tc>
        <w:tc>
          <w:tcPr>
            <w:tcW w:w="2571" w:type="dxa"/>
            <w:tcBorders>
              <w:left w:val="nil"/>
              <w:right w:val="nil"/>
            </w:tcBorders>
          </w:tcPr>
          <w:p w14:paraId="3771501C" w14:textId="77777777" w:rsidR="007C7948" w:rsidRDefault="007C7948" w:rsidP="00FF73F4">
            <w:pPr>
              <w:rPr>
                <w:rFonts w:ascii="Cambria" w:hAnsi="Cambria"/>
              </w:rPr>
            </w:pPr>
            <w:r w:rsidRPr="009B7C9B">
              <w:rPr>
                <w:rFonts w:ascii="Cambria" w:hAnsi="Cambria"/>
                <w:i/>
              </w:rPr>
              <w:t>Bank BPH S</w:t>
            </w:r>
            <w:r>
              <w:rPr>
                <w:rFonts w:ascii="Cambria" w:hAnsi="Cambria"/>
                <w:i/>
              </w:rPr>
              <w:t>.</w:t>
            </w:r>
            <w:r w:rsidRPr="009B7C9B">
              <w:rPr>
                <w:rFonts w:ascii="Cambria" w:hAnsi="Cambria"/>
                <w:i/>
              </w:rPr>
              <w:t>A</w:t>
            </w:r>
            <w:r>
              <w:rPr>
                <w:rFonts w:ascii="Cambria" w:hAnsi="Cambria"/>
                <w:i/>
              </w:rPr>
              <w:t>.</w:t>
            </w:r>
            <w:r>
              <w:rPr>
                <w:rFonts w:ascii="Cambria" w:hAnsi="Cambria"/>
              </w:rPr>
              <w:t>:</w:t>
            </w:r>
          </w:p>
          <w:p w14:paraId="111B0709" w14:textId="77777777" w:rsidR="007C7948" w:rsidRDefault="007C7948" w:rsidP="00FF73F4">
            <w:pPr>
              <w:rPr>
                <w:rFonts w:ascii="Cambria" w:hAnsi="Cambria"/>
              </w:rPr>
            </w:pPr>
            <w:r>
              <w:rPr>
                <w:rFonts w:ascii="Cambria" w:hAnsi="Cambria"/>
              </w:rPr>
              <w:t>GE Capital sells 100% stake to PZU-controlled Alior Bank</w:t>
            </w:r>
          </w:p>
        </w:tc>
        <w:tc>
          <w:tcPr>
            <w:tcW w:w="2790" w:type="dxa"/>
            <w:tcBorders>
              <w:left w:val="nil"/>
              <w:right w:val="nil"/>
            </w:tcBorders>
          </w:tcPr>
          <w:p w14:paraId="54E994F9" w14:textId="77777777" w:rsidR="007C7948" w:rsidRPr="00E514C5" w:rsidRDefault="007C7948" w:rsidP="00FF73F4">
            <w:pPr>
              <w:rPr>
                <w:rFonts w:ascii="Cambria" w:hAnsi="Cambria"/>
                <w:i/>
              </w:rPr>
            </w:pPr>
            <w:r w:rsidRPr="00E514C5">
              <w:rPr>
                <w:rFonts w:ascii="Cambria" w:hAnsi="Cambria"/>
                <w:i/>
              </w:rPr>
              <w:t>Erste Bank Hungary Zrt.</w:t>
            </w:r>
          </w:p>
          <w:p w14:paraId="2004F0D9" w14:textId="77777777" w:rsidR="007C7948" w:rsidRDefault="007C7948" w:rsidP="00FF73F4">
            <w:pPr>
              <w:rPr>
                <w:rFonts w:ascii="Cambria" w:hAnsi="Cambria"/>
              </w:rPr>
            </w:pPr>
            <w:r>
              <w:rPr>
                <w:rFonts w:ascii="Cambria" w:hAnsi="Cambria"/>
              </w:rPr>
              <w:t>Erste Group Bank AG sells 15% stake to MFB-controlled Corvinus International Investment Ltd. and 15% stake to the European Bank for Reconstruction and Development (EBRD)</w:t>
            </w:r>
          </w:p>
        </w:tc>
        <w:tc>
          <w:tcPr>
            <w:tcW w:w="2628" w:type="dxa"/>
            <w:tcBorders>
              <w:left w:val="nil"/>
              <w:right w:val="nil"/>
            </w:tcBorders>
          </w:tcPr>
          <w:p w14:paraId="789866E2" w14:textId="77777777" w:rsidR="007C7948" w:rsidRDefault="007C7948" w:rsidP="00FF73F4">
            <w:pPr>
              <w:rPr>
                <w:rFonts w:ascii="Cambria" w:hAnsi="Cambria"/>
              </w:rPr>
            </w:pPr>
            <w:r>
              <w:rPr>
                <w:rFonts w:ascii="Cambria" w:hAnsi="Cambria"/>
                <w:i/>
              </w:rPr>
              <w:t>MKB Bank Zrt.</w:t>
            </w:r>
          </w:p>
          <w:p w14:paraId="09AFD2D5" w14:textId="77777777" w:rsidR="007C7948" w:rsidRPr="005600B9" w:rsidRDefault="007C7948" w:rsidP="00FF73F4">
            <w:pPr>
              <w:rPr>
                <w:rFonts w:ascii="Cambria" w:hAnsi="Cambria"/>
              </w:rPr>
            </w:pPr>
            <w:r>
              <w:rPr>
                <w:rFonts w:ascii="Cambria" w:hAnsi="Cambria"/>
              </w:rPr>
              <w:t xml:space="preserve">Hungarian State sells 45% to </w:t>
            </w:r>
            <w:r>
              <w:rPr>
                <w:shd w:val="clear" w:color="auto" w:fill="FFFFFF"/>
              </w:rPr>
              <w:t>METIS Private Capital Fund</w:t>
            </w:r>
            <w:r w:rsidRPr="007237D4">
              <w:rPr>
                <w:shd w:val="clear" w:color="auto" w:fill="FFFFFF"/>
                <w:vertAlign w:val="superscript"/>
              </w:rPr>
              <w:t>1</w:t>
            </w:r>
            <w:r>
              <w:rPr>
                <w:shd w:val="clear" w:color="auto" w:fill="FFFFFF"/>
              </w:rPr>
              <w:t xml:space="preserve">, 30% to Blue Robin Investments S.C.A. and 10% stake to </w:t>
            </w:r>
            <w:r w:rsidRPr="005600B9">
              <w:rPr>
                <w:shd w:val="clear" w:color="auto" w:fill="FFFFFF"/>
              </w:rPr>
              <w:t xml:space="preserve">Pannónia </w:t>
            </w:r>
            <w:r>
              <w:rPr>
                <w:shd w:val="clear" w:color="auto" w:fill="FFFFFF"/>
              </w:rPr>
              <w:t>pension fund and 15% stake to MKB employee stock ownership plan</w:t>
            </w:r>
          </w:p>
        </w:tc>
      </w:tr>
      <w:tr w:rsidR="007C7948" w14:paraId="7DDCAB23" w14:textId="77777777" w:rsidTr="00D23891">
        <w:tc>
          <w:tcPr>
            <w:tcW w:w="867" w:type="dxa"/>
            <w:tcBorders>
              <w:left w:val="nil"/>
              <w:right w:val="nil"/>
            </w:tcBorders>
          </w:tcPr>
          <w:p w14:paraId="311AE92A" w14:textId="77777777" w:rsidR="007C7948" w:rsidRPr="00E470A5" w:rsidRDefault="007C7948" w:rsidP="00FF73F4">
            <w:pPr>
              <w:rPr>
                <w:rFonts w:ascii="Cambria" w:hAnsi="Cambria"/>
                <w:b/>
              </w:rPr>
            </w:pPr>
            <w:r w:rsidRPr="00E470A5">
              <w:rPr>
                <w:rFonts w:ascii="Cambria" w:hAnsi="Cambria"/>
                <w:b/>
              </w:rPr>
              <w:t>2015</w:t>
            </w:r>
          </w:p>
        </w:tc>
        <w:tc>
          <w:tcPr>
            <w:tcW w:w="2571" w:type="dxa"/>
            <w:tcBorders>
              <w:left w:val="nil"/>
              <w:right w:val="nil"/>
            </w:tcBorders>
          </w:tcPr>
          <w:p w14:paraId="706FAE12" w14:textId="77777777" w:rsidR="007C7948" w:rsidRPr="00730C9B" w:rsidRDefault="007C7948" w:rsidP="00FF73F4">
            <w:pPr>
              <w:rPr>
                <w:rFonts w:ascii="Cambria" w:hAnsi="Cambria"/>
                <w:i/>
              </w:rPr>
            </w:pPr>
            <w:r w:rsidRPr="00730C9B">
              <w:rPr>
                <w:rFonts w:ascii="Cambria" w:hAnsi="Cambria"/>
                <w:i/>
              </w:rPr>
              <w:t>Alior Bank:</w:t>
            </w:r>
          </w:p>
          <w:p w14:paraId="0775E320" w14:textId="77777777" w:rsidR="007C7948" w:rsidRDefault="007C7948" w:rsidP="00FF73F4">
            <w:pPr>
              <w:rPr>
                <w:rFonts w:ascii="Cambria" w:hAnsi="Cambria"/>
              </w:rPr>
            </w:pPr>
            <w:r>
              <w:rPr>
                <w:rFonts w:ascii="Cambria" w:hAnsi="Cambria"/>
              </w:rPr>
              <w:t xml:space="preserve">Carlo Tassara holding group (Romain Zaleski) sells 25.26% stake to state-controlled PZU S.A. </w:t>
            </w:r>
          </w:p>
        </w:tc>
        <w:tc>
          <w:tcPr>
            <w:tcW w:w="2790" w:type="dxa"/>
            <w:tcBorders>
              <w:left w:val="nil"/>
              <w:right w:val="nil"/>
            </w:tcBorders>
          </w:tcPr>
          <w:p w14:paraId="5096FC65" w14:textId="77777777" w:rsidR="007C7948" w:rsidRPr="00832CD1" w:rsidRDefault="007C7948" w:rsidP="00FF73F4">
            <w:pPr>
              <w:rPr>
                <w:rFonts w:ascii="Cambria" w:hAnsi="Cambria"/>
                <w:i/>
              </w:rPr>
            </w:pPr>
            <w:r w:rsidRPr="00832CD1">
              <w:rPr>
                <w:rFonts w:ascii="Cambria" w:hAnsi="Cambria"/>
                <w:i/>
              </w:rPr>
              <w:t>Budapest Bank</w:t>
            </w:r>
            <w:r>
              <w:rPr>
                <w:rFonts w:ascii="Cambria" w:hAnsi="Cambria"/>
                <w:i/>
              </w:rPr>
              <w:t xml:space="preserve"> Zrt.</w:t>
            </w:r>
          </w:p>
          <w:p w14:paraId="4B5D8A41" w14:textId="77777777" w:rsidR="007C7948" w:rsidRDefault="007C7948" w:rsidP="00FF73F4">
            <w:pPr>
              <w:rPr>
                <w:rFonts w:ascii="Cambria" w:hAnsi="Cambria"/>
              </w:rPr>
            </w:pPr>
            <w:r>
              <w:rPr>
                <w:rFonts w:ascii="Cambria" w:hAnsi="Cambria"/>
              </w:rPr>
              <w:t>GE Capital sells 100% stake to a fund (Corvinus International Investment Ltd.) controlled by the Hungarian Development Bank (MFB)</w:t>
            </w:r>
          </w:p>
        </w:tc>
        <w:tc>
          <w:tcPr>
            <w:tcW w:w="2628" w:type="dxa"/>
            <w:tcBorders>
              <w:left w:val="nil"/>
              <w:right w:val="nil"/>
            </w:tcBorders>
          </w:tcPr>
          <w:p w14:paraId="5E8DB81A" w14:textId="77777777" w:rsidR="007C7948" w:rsidRPr="00730C9B" w:rsidRDefault="007C7948" w:rsidP="00FF73F4">
            <w:pPr>
              <w:rPr>
                <w:rFonts w:ascii="Cambria" w:hAnsi="Cambria"/>
                <w:i/>
              </w:rPr>
            </w:pPr>
          </w:p>
        </w:tc>
      </w:tr>
      <w:tr w:rsidR="007C7948" w14:paraId="4EED680A" w14:textId="77777777" w:rsidTr="00D23891">
        <w:tc>
          <w:tcPr>
            <w:tcW w:w="867" w:type="dxa"/>
            <w:tcBorders>
              <w:left w:val="nil"/>
              <w:right w:val="nil"/>
            </w:tcBorders>
          </w:tcPr>
          <w:p w14:paraId="159E5AEC" w14:textId="77777777" w:rsidR="007C7948" w:rsidRPr="00E470A5" w:rsidRDefault="007C7948" w:rsidP="00FF73F4">
            <w:pPr>
              <w:rPr>
                <w:rFonts w:ascii="Cambria" w:hAnsi="Cambria"/>
                <w:b/>
              </w:rPr>
            </w:pPr>
            <w:r>
              <w:rPr>
                <w:rFonts w:ascii="Cambria" w:hAnsi="Cambria"/>
                <w:b/>
              </w:rPr>
              <w:t>2014</w:t>
            </w:r>
          </w:p>
        </w:tc>
        <w:tc>
          <w:tcPr>
            <w:tcW w:w="2571" w:type="dxa"/>
            <w:tcBorders>
              <w:left w:val="nil"/>
              <w:right w:val="nil"/>
            </w:tcBorders>
          </w:tcPr>
          <w:p w14:paraId="7712D74A" w14:textId="77777777" w:rsidR="007C7948" w:rsidRDefault="007C7948" w:rsidP="00FF73F4">
            <w:pPr>
              <w:rPr>
                <w:rFonts w:ascii="Cambria" w:hAnsi="Cambria"/>
              </w:rPr>
            </w:pPr>
            <w:r w:rsidRPr="00E470A5">
              <w:rPr>
                <w:rFonts w:ascii="Cambria" w:hAnsi="Cambria"/>
                <w:i/>
              </w:rPr>
              <w:t xml:space="preserve">Nordea Bank </w:t>
            </w:r>
            <w:r>
              <w:rPr>
                <w:rFonts w:ascii="Cambria" w:hAnsi="Cambria"/>
                <w:i/>
              </w:rPr>
              <w:t xml:space="preserve">Polska </w:t>
            </w:r>
            <w:r w:rsidRPr="00E470A5">
              <w:rPr>
                <w:rFonts w:ascii="Cambria" w:hAnsi="Cambria"/>
                <w:i/>
              </w:rPr>
              <w:t>SA</w:t>
            </w:r>
            <w:r>
              <w:rPr>
                <w:rFonts w:ascii="Cambria" w:hAnsi="Cambria"/>
              </w:rPr>
              <w:t>:</w:t>
            </w:r>
          </w:p>
          <w:p w14:paraId="28DA1DA2" w14:textId="77777777" w:rsidR="007C7948" w:rsidRDefault="007C7948" w:rsidP="00FF73F4">
            <w:pPr>
              <w:rPr>
                <w:rFonts w:ascii="Cambria" w:hAnsi="Cambria"/>
              </w:rPr>
            </w:pPr>
            <w:r>
              <w:rPr>
                <w:rFonts w:ascii="Cambria" w:hAnsi="Cambria"/>
              </w:rPr>
              <w:t>Nordea Bank AB sells 100% stake to state-controlled PKO Bank Polski S.A.</w:t>
            </w:r>
          </w:p>
        </w:tc>
        <w:tc>
          <w:tcPr>
            <w:tcW w:w="2790" w:type="dxa"/>
            <w:tcBorders>
              <w:left w:val="nil"/>
              <w:right w:val="nil"/>
            </w:tcBorders>
          </w:tcPr>
          <w:p w14:paraId="52AF8B1E" w14:textId="77777777" w:rsidR="007C7948" w:rsidRPr="00A81058" w:rsidRDefault="007C7948" w:rsidP="00FF73F4">
            <w:pPr>
              <w:rPr>
                <w:rFonts w:ascii="Cambria" w:hAnsi="Cambria"/>
              </w:rPr>
            </w:pPr>
            <w:r w:rsidRPr="00A81058">
              <w:rPr>
                <w:rFonts w:ascii="Cambria" w:hAnsi="Cambria"/>
                <w:i/>
              </w:rPr>
              <w:t>MKB Bank Zrt.</w:t>
            </w:r>
          </w:p>
          <w:p w14:paraId="3378F1BD" w14:textId="77777777" w:rsidR="007C7948" w:rsidRPr="00A81058" w:rsidRDefault="007C7948" w:rsidP="00FF73F4">
            <w:pPr>
              <w:rPr>
                <w:rFonts w:ascii="Cambria" w:hAnsi="Cambria"/>
              </w:rPr>
            </w:pPr>
            <w:r w:rsidRPr="00A81058">
              <w:rPr>
                <w:rFonts w:ascii="Cambria" w:hAnsi="Cambria"/>
              </w:rPr>
              <w:t>Bayerische Landesbank</w:t>
            </w:r>
            <w:r>
              <w:rPr>
                <w:rFonts w:ascii="Cambria" w:hAnsi="Cambria"/>
              </w:rPr>
              <w:t xml:space="preserve"> (BayernLB)</w:t>
            </w:r>
            <w:r w:rsidRPr="00A81058">
              <w:rPr>
                <w:rFonts w:ascii="Cambria" w:hAnsi="Cambria"/>
              </w:rPr>
              <w:t xml:space="preserve"> sells 100% stake to Hungarian State</w:t>
            </w:r>
          </w:p>
        </w:tc>
        <w:tc>
          <w:tcPr>
            <w:tcW w:w="2628" w:type="dxa"/>
            <w:tcBorders>
              <w:left w:val="nil"/>
              <w:right w:val="nil"/>
            </w:tcBorders>
          </w:tcPr>
          <w:p w14:paraId="41DEB275" w14:textId="77777777" w:rsidR="007C7948" w:rsidRDefault="007C7948" w:rsidP="00FF73F4">
            <w:pPr>
              <w:rPr>
                <w:rFonts w:ascii="Cambria" w:hAnsi="Cambria" w:cs="Times New Roman"/>
              </w:rPr>
            </w:pPr>
            <w:r>
              <w:rPr>
                <w:rFonts w:ascii="Cambria" w:hAnsi="Cambria" w:cs="Times New Roman"/>
                <w:i/>
              </w:rPr>
              <w:t>TakarékB</w:t>
            </w:r>
            <w:r w:rsidRPr="00241D8A">
              <w:rPr>
                <w:rFonts w:ascii="Cambria" w:hAnsi="Cambria" w:cs="Times New Roman"/>
                <w:i/>
              </w:rPr>
              <w:t>ank</w:t>
            </w:r>
          </w:p>
          <w:p w14:paraId="17710155" w14:textId="77777777" w:rsidR="007C7948" w:rsidRPr="006E4906" w:rsidRDefault="007C7948" w:rsidP="00FF73F4">
            <w:pPr>
              <w:rPr>
                <w:rFonts w:ascii="Cambria" w:eastAsia="Times New Roman" w:hAnsi="Cambria" w:cs="Times New Roman"/>
              </w:rPr>
            </w:pPr>
            <w:r w:rsidRPr="006E4906">
              <w:rPr>
                <w:rFonts w:ascii="Cambria" w:hAnsi="Cambria" w:cs="Times New Roman"/>
              </w:rPr>
              <w:t>Hungarian Development Bank (MFB) and Magyar Posta sell 54.8% stake in TakarékBank to</w:t>
            </w:r>
            <w:r>
              <w:rPr>
                <w:rFonts w:ascii="Cambria" w:hAnsi="Cambria" w:cs="Times New Roman"/>
              </w:rPr>
              <w:t xml:space="preserve"> Fidesz-allied</w:t>
            </w:r>
            <w:r w:rsidRPr="006E4906">
              <w:rPr>
                <w:rFonts w:ascii="Cambria" w:hAnsi="Cambria" w:cs="Times New Roman"/>
              </w:rPr>
              <w:t xml:space="preserve"> Magyar Takarék </w:t>
            </w:r>
            <w:r w:rsidRPr="006E4906">
              <w:rPr>
                <w:rFonts w:ascii="Cambria" w:eastAsia="Times New Roman" w:hAnsi="Cambria" w:cs="Arial"/>
                <w:color w:val="000000"/>
                <w:shd w:val="clear" w:color="auto" w:fill="FFFFFF"/>
              </w:rPr>
              <w:t>Befektet</w:t>
            </w:r>
            <w:r w:rsidRPr="006E4906">
              <w:rPr>
                <w:rFonts w:ascii="Cambria" w:hAnsi="Cambria" w:cs="Times New Roman"/>
              </w:rPr>
              <w:t>é</w:t>
            </w:r>
            <w:r w:rsidRPr="006E4906">
              <w:rPr>
                <w:rFonts w:ascii="Cambria" w:eastAsia="Times New Roman" w:hAnsi="Cambria" w:cs="Arial"/>
                <w:color w:val="000000"/>
                <w:shd w:val="clear" w:color="auto" w:fill="FFFFFF"/>
              </w:rPr>
              <w:t xml:space="preserve">si </w:t>
            </w:r>
            <w:r w:rsidRPr="006E4906">
              <w:rPr>
                <w:rFonts w:ascii="Cambria" w:hAnsi="Cambria" w:cs="Times New Roman"/>
              </w:rPr>
              <w:t>é</w:t>
            </w:r>
            <w:r w:rsidRPr="006E4906">
              <w:rPr>
                <w:rFonts w:ascii="Cambria" w:eastAsia="Times New Roman" w:hAnsi="Cambria" w:cs="Arial"/>
                <w:color w:val="000000"/>
                <w:shd w:val="clear" w:color="auto" w:fill="FFFFFF"/>
              </w:rPr>
              <w:t>s Vagyongazdálkodási Zrt</w:t>
            </w:r>
            <w:r>
              <w:rPr>
                <w:rFonts w:ascii="Cambria" w:eastAsia="Times New Roman" w:hAnsi="Cambria" w:cs="Arial"/>
                <w:color w:val="000000"/>
                <w:shd w:val="clear" w:color="auto" w:fill="FFFFFF"/>
              </w:rPr>
              <w:t>.</w:t>
            </w:r>
            <w:r w:rsidRPr="00E73318">
              <w:rPr>
                <w:rFonts w:ascii="Cambria" w:eastAsia="Times New Roman" w:hAnsi="Cambria" w:cs="Arial"/>
                <w:color w:val="000000"/>
                <w:shd w:val="clear" w:color="auto" w:fill="FFFFFF"/>
                <w:vertAlign w:val="superscript"/>
              </w:rPr>
              <w:t>2</w:t>
            </w:r>
          </w:p>
          <w:p w14:paraId="654CD0A6" w14:textId="77777777" w:rsidR="007C7948" w:rsidRPr="00FD5E21" w:rsidRDefault="007C7948" w:rsidP="00FF73F4">
            <w:pPr>
              <w:rPr>
                <w:rFonts w:ascii="Cambria" w:hAnsi="Cambria"/>
              </w:rPr>
            </w:pPr>
          </w:p>
        </w:tc>
      </w:tr>
      <w:tr w:rsidR="007C7948" w14:paraId="53050CED" w14:textId="77777777" w:rsidTr="00D23891">
        <w:tc>
          <w:tcPr>
            <w:tcW w:w="867" w:type="dxa"/>
            <w:tcBorders>
              <w:left w:val="nil"/>
              <w:right w:val="nil"/>
            </w:tcBorders>
          </w:tcPr>
          <w:p w14:paraId="04BD2B84" w14:textId="77777777" w:rsidR="007C7948" w:rsidRPr="00E470A5" w:rsidRDefault="007C7948" w:rsidP="00FF73F4">
            <w:pPr>
              <w:rPr>
                <w:rFonts w:ascii="Cambria" w:hAnsi="Cambria"/>
                <w:b/>
              </w:rPr>
            </w:pPr>
            <w:r>
              <w:rPr>
                <w:rFonts w:ascii="Cambria" w:hAnsi="Cambria"/>
                <w:b/>
              </w:rPr>
              <w:t>2013</w:t>
            </w:r>
          </w:p>
        </w:tc>
        <w:tc>
          <w:tcPr>
            <w:tcW w:w="2571" w:type="dxa"/>
            <w:tcBorders>
              <w:left w:val="nil"/>
              <w:right w:val="nil"/>
            </w:tcBorders>
          </w:tcPr>
          <w:p w14:paraId="683B1F4C" w14:textId="77777777" w:rsidR="007C7948" w:rsidRDefault="007C7948" w:rsidP="00FF73F4">
            <w:pPr>
              <w:rPr>
                <w:rFonts w:ascii="Cambria" w:hAnsi="Cambria"/>
              </w:rPr>
            </w:pPr>
          </w:p>
        </w:tc>
        <w:tc>
          <w:tcPr>
            <w:tcW w:w="2790" w:type="dxa"/>
            <w:tcBorders>
              <w:left w:val="nil"/>
              <w:right w:val="nil"/>
            </w:tcBorders>
          </w:tcPr>
          <w:p w14:paraId="3F2C973A" w14:textId="77777777" w:rsidR="007C7948" w:rsidRDefault="007C7948" w:rsidP="00FF73F4">
            <w:pPr>
              <w:rPr>
                <w:rFonts w:ascii="Cambria" w:hAnsi="Cambria"/>
              </w:rPr>
            </w:pPr>
          </w:p>
        </w:tc>
        <w:tc>
          <w:tcPr>
            <w:tcW w:w="2628" w:type="dxa"/>
            <w:tcBorders>
              <w:left w:val="nil"/>
              <w:right w:val="nil"/>
            </w:tcBorders>
          </w:tcPr>
          <w:p w14:paraId="2CB26623" w14:textId="77777777" w:rsidR="007C7948" w:rsidRDefault="007C7948" w:rsidP="00FF73F4">
            <w:pPr>
              <w:rPr>
                <w:rFonts w:ascii="Cambria" w:hAnsi="Cambria"/>
              </w:rPr>
            </w:pPr>
          </w:p>
        </w:tc>
      </w:tr>
      <w:tr w:rsidR="007C7948" w14:paraId="01C341AC" w14:textId="77777777" w:rsidTr="00D23891">
        <w:tc>
          <w:tcPr>
            <w:tcW w:w="867" w:type="dxa"/>
            <w:tcBorders>
              <w:left w:val="nil"/>
              <w:bottom w:val="single" w:sz="4" w:space="0" w:color="auto"/>
              <w:right w:val="nil"/>
            </w:tcBorders>
          </w:tcPr>
          <w:p w14:paraId="03CDD37E" w14:textId="77777777" w:rsidR="007C7948" w:rsidRDefault="007C7948" w:rsidP="00FF73F4">
            <w:pPr>
              <w:rPr>
                <w:rFonts w:ascii="Cambria" w:hAnsi="Cambria"/>
                <w:b/>
              </w:rPr>
            </w:pPr>
            <w:r>
              <w:rPr>
                <w:rFonts w:ascii="Cambria" w:hAnsi="Cambria"/>
                <w:b/>
              </w:rPr>
              <w:t>2012</w:t>
            </w:r>
          </w:p>
        </w:tc>
        <w:tc>
          <w:tcPr>
            <w:tcW w:w="2571" w:type="dxa"/>
            <w:tcBorders>
              <w:left w:val="nil"/>
              <w:bottom w:val="single" w:sz="4" w:space="0" w:color="auto"/>
              <w:right w:val="nil"/>
            </w:tcBorders>
          </w:tcPr>
          <w:p w14:paraId="0A3731C3" w14:textId="77777777" w:rsidR="007C7948" w:rsidRDefault="007C7948" w:rsidP="00FF73F4">
            <w:pPr>
              <w:rPr>
                <w:rFonts w:ascii="Cambria" w:hAnsi="Cambria"/>
              </w:rPr>
            </w:pPr>
          </w:p>
        </w:tc>
        <w:tc>
          <w:tcPr>
            <w:tcW w:w="2790" w:type="dxa"/>
            <w:tcBorders>
              <w:left w:val="nil"/>
              <w:bottom w:val="single" w:sz="4" w:space="0" w:color="auto"/>
              <w:right w:val="nil"/>
            </w:tcBorders>
          </w:tcPr>
          <w:p w14:paraId="027CC708" w14:textId="77777777" w:rsidR="007C7948" w:rsidRPr="002421D4" w:rsidRDefault="007C7948" w:rsidP="00FF73F4">
            <w:pPr>
              <w:rPr>
                <w:rFonts w:ascii="Cambria" w:hAnsi="Cambria"/>
                <w:i/>
              </w:rPr>
            </w:pPr>
            <w:r w:rsidRPr="002421D4">
              <w:rPr>
                <w:rFonts w:ascii="Cambria" w:hAnsi="Cambria"/>
                <w:i/>
              </w:rPr>
              <w:t>TakarékBank</w:t>
            </w:r>
          </w:p>
          <w:p w14:paraId="07EC326F" w14:textId="77777777" w:rsidR="007C7948" w:rsidRPr="002421D4" w:rsidRDefault="007C7948" w:rsidP="00FF73F4">
            <w:pPr>
              <w:rPr>
                <w:rFonts w:ascii="Cambria" w:eastAsia="Times New Roman" w:hAnsi="Cambria"/>
              </w:rPr>
            </w:pPr>
            <w:r w:rsidRPr="002421D4">
              <w:rPr>
                <w:rFonts w:ascii="Cambria" w:eastAsia="Times New Roman" w:hAnsi="Cambria" w:cs="Arial"/>
              </w:rPr>
              <w:t>Deutsche Zentral-Genossenschaftsbank</w:t>
            </w:r>
          </w:p>
          <w:p w14:paraId="0B578C78" w14:textId="77777777" w:rsidR="007C7948" w:rsidRDefault="007C7948" w:rsidP="00FF73F4">
            <w:pPr>
              <w:rPr>
                <w:rFonts w:ascii="Cambria" w:hAnsi="Cambria"/>
              </w:rPr>
            </w:pPr>
            <w:r w:rsidRPr="002421D4">
              <w:rPr>
                <w:rFonts w:ascii="Cambria" w:hAnsi="Cambria"/>
              </w:rPr>
              <w:t>(DZ Bank AG) sells 38.5% stake to MFB (Hungarian Development Bank)</w:t>
            </w:r>
          </w:p>
        </w:tc>
        <w:tc>
          <w:tcPr>
            <w:tcW w:w="2628" w:type="dxa"/>
            <w:tcBorders>
              <w:left w:val="nil"/>
              <w:bottom w:val="single" w:sz="4" w:space="0" w:color="auto"/>
              <w:right w:val="nil"/>
            </w:tcBorders>
          </w:tcPr>
          <w:p w14:paraId="38B48E48" w14:textId="77777777" w:rsidR="007C7948" w:rsidRDefault="007C7948" w:rsidP="00FF73F4">
            <w:pPr>
              <w:rPr>
                <w:rFonts w:ascii="Cambria" w:hAnsi="Cambria"/>
              </w:rPr>
            </w:pPr>
          </w:p>
        </w:tc>
      </w:tr>
      <w:tr w:rsidR="007C7948" w14:paraId="7B2C030D" w14:textId="77777777" w:rsidTr="00D23891">
        <w:tc>
          <w:tcPr>
            <w:tcW w:w="8856" w:type="dxa"/>
            <w:gridSpan w:val="4"/>
            <w:tcBorders>
              <w:left w:val="nil"/>
              <w:bottom w:val="nil"/>
              <w:right w:val="nil"/>
            </w:tcBorders>
          </w:tcPr>
          <w:p w14:paraId="3ABB0414" w14:textId="77777777" w:rsidR="007C7948" w:rsidRDefault="007C7948" w:rsidP="00FF73F4">
            <w:pPr>
              <w:rPr>
                <w:rFonts w:ascii="Cambria" w:hAnsi="Cambria"/>
                <w:i/>
                <w:sz w:val="20"/>
                <w:szCs w:val="20"/>
              </w:rPr>
            </w:pPr>
            <w:r>
              <w:rPr>
                <w:rFonts w:ascii="Cambria" w:hAnsi="Cambria"/>
                <w:i/>
                <w:sz w:val="20"/>
                <w:szCs w:val="20"/>
              </w:rPr>
              <w:t>Sources</w:t>
            </w:r>
            <w:r w:rsidRPr="005D717B">
              <w:rPr>
                <w:rFonts w:ascii="Cambria" w:hAnsi="Cambria"/>
                <w:sz w:val="20"/>
                <w:szCs w:val="20"/>
              </w:rPr>
              <w:t>:</w:t>
            </w:r>
            <w:r>
              <w:rPr>
                <w:rFonts w:ascii="Cambria" w:hAnsi="Cambria"/>
                <w:sz w:val="20"/>
                <w:szCs w:val="20"/>
              </w:rPr>
              <w:t xml:space="preserve"> own reconstruction from publicly available news.</w:t>
            </w:r>
          </w:p>
          <w:p w14:paraId="33984DA2" w14:textId="77777777" w:rsidR="007C7948" w:rsidRPr="005D717B" w:rsidRDefault="007C7948" w:rsidP="00FF73F4">
            <w:pPr>
              <w:rPr>
                <w:rFonts w:ascii="Cambria" w:hAnsi="Cambria"/>
                <w:sz w:val="20"/>
                <w:szCs w:val="20"/>
              </w:rPr>
            </w:pPr>
            <w:r w:rsidRPr="005D717B">
              <w:rPr>
                <w:rFonts w:ascii="Cambria" w:hAnsi="Cambria"/>
                <w:i/>
                <w:sz w:val="20"/>
                <w:szCs w:val="20"/>
              </w:rPr>
              <w:t>Notes</w:t>
            </w:r>
            <w:r w:rsidRPr="005D717B">
              <w:rPr>
                <w:rFonts w:ascii="Cambria" w:hAnsi="Cambria"/>
                <w:sz w:val="20"/>
                <w:szCs w:val="20"/>
              </w:rPr>
              <w:t>:</w:t>
            </w:r>
          </w:p>
          <w:p w14:paraId="74E70C93" w14:textId="77777777" w:rsidR="007C7948" w:rsidRDefault="007C7948" w:rsidP="00FF73F4">
            <w:pPr>
              <w:rPr>
                <w:rFonts w:ascii="Cambria" w:hAnsi="Cambria"/>
                <w:sz w:val="20"/>
                <w:szCs w:val="20"/>
              </w:rPr>
            </w:pPr>
            <w:r w:rsidRPr="005D717B">
              <w:rPr>
                <w:rFonts w:ascii="Cambria" w:hAnsi="Cambria"/>
                <w:sz w:val="20"/>
                <w:szCs w:val="20"/>
                <w:vertAlign w:val="superscript"/>
              </w:rPr>
              <w:t>1</w:t>
            </w:r>
            <w:r w:rsidRPr="005D717B">
              <w:rPr>
                <w:rFonts w:ascii="Cambria" w:hAnsi="Cambria"/>
                <w:sz w:val="20"/>
                <w:szCs w:val="20"/>
              </w:rPr>
              <w:t xml:space="preserve">While there was much speculation about who the ultimate owners of METIS Private Capital Fund and Blue Robin Investments were, holding company Konzum – controlled by Lőrincz Mészáros, </w:t>
            </w:r>
            <w:r>
              <w:rPr>
                <w:rFonts w:ascii="Cambria" w:hAnsi="Cambria"/>
                <w:sz w:val="20"/>
                <w:szCs w:val="20"/>
              </w:rPr>
              <w:t>a close</w:t>
            </w:r>
            <w:r w:rsidRPr="005D717B">
              <w:rPr>
                <w:rFonts w:ascii="Cambria" w:hAnsi="Cambria"/>
                <w:sz w:val="20"/>
                <w:szCs w:val="20"/>
              </w:rPr>
              <w:t xml:space="preserve"> </w:t>
            </w:r>
            <w:r>
              <w:rPr>
                <w:rFonts w:ascii="Cambria" w:hAnsi="Cambria"/>
                <w:sz w:val="20"/>
                <w:szCs w:val="20"/>
              </w:rPr>
              <w:t>ally</w:t>
            </w:r>
            <w:r w:rsidRPr="005D717B">
              <w:rPr>
                <w:rFonts w:ascii="Cambria" w:hAnsi="Cambria"/>
                <w:sz w:val="20"/>
                <w:szCs w:val="20"/>
              </w:rPr>
              <w:t xml:space="preserve"> of Prime Minister Orbán</w:t>
            </w:r>
            <w:r>
              <w:rPr>
                <w:rFonts w:ascii="Cambria" w:hAnsi="Cambria"/>
                <w:sz w:val="20"/>
                <w:szCs w:val="20"/>
              </w:rPr>
              <w:t xml:space="preserve">, described as “the most crucial figure in the economic hinterland of Fidesz after 2014” (Scheiring 2020: 245) </w:t>
            </w:r>
            <w:r w:rsidRPr="005D717B">
              <w:rPr>
                <w:rFonts w:ascii="Cambria" w:hAnsi="Cambria"/>
                <w:sz w:val="20"/>
                <w:szCs w:val="20"/>
              </w:rPr>
              <w:t>– acquired METIS’s 45% stake in MKB and a 4% stake from Blue Robin Investments (in total a 49% stake) in 2017</w:t>
            </w:r>
            <w:r>
              <w:rPr>
                <w:rFonts w:ascii="Cambria" w:hAnsi="Cambria"/>
                <w:sz w:val="20"/>
                <w:szCs w:val="20"/>
              </w:rPr>
              <w:t xml:space="preserve"> (BNE IntelliNews 2017; see also Mérő and Piroska, 2016: 222-223)</w:t>
            </w:r>
            <w:r w:rsidRPr="005D717B">
              <w:rPr>
                <w:rFonts w:ascii="Cambria" w:hAnsi="Cambria"/>
                <w:sz w:val="20"/>
                <w:szCs w:val="20"/>
              </w:rPr>
              <w:t xml:space="preserve">. </w:t>
            </w:r>
          </w:p>
          <w:p w14:paraId="5EDA639A" w14:textId="77777777" w:rsidR="007C7948" w:rsidRPr="005D717B" w:rsidRDefault="007C7948" w:rsidP="00FF73F4">
            <w:pPr>
              <w:rPr>
                <w:rFonts w:ascii="Cambria" w:hAnsi="Cambria"/>
                <w:sz w:val="20"/>
                <w:szCs w:val="20"/>
              </w:rPr>
            </w:pPr>
            <w:r>
              <w:rPr>
                <w:rFonts w:ascii="Cambria" w:hAnsi="Cambria"/>
                <w:sz w:val="20"/>
                <w:szCs w:val="20"/>
                <w:vertAlign w:val="superscript"/>
              </w:rPr>
              <w:t>2</w:t>
            </w:r>
            <w:r w:rsidRPr="00D41C6C">
              <w:rPr>
                <w:rFonts w:ascii="Cambria" w:hAnsi="Cambria"/>
                <w:sz w:val="20"/>
                <w:szCs w:val="20"/>
              </w:rPr>
              <w:t xml:space="preserve"> Mag</w:t>
            </w:r>
            <w:r>
              <w:rPr>
                <w:rFonts w:ascii="Cambria" w:hAnsi="Cambria"/>
                <w:sz w:val="20"/>
                <w:szCs w:val="20"/>
              </w:rPr>
              <w:t xml:space="preserve">yar Takarék’s owners included FHB Mortgage Bank Nyrt. (controlled by Fidesz-allied business Zoltán Spéder - see Scheiring 2020: 229; 264), EPHSZ Kft. (a financial service development firm managed by Tamás Vojnits – the Fidesz-appointed state commissioner responsible for revamping the savings cooperatives sector), and József Vida – chairman and chief executive of savings cooperative Szentgál és Vidéke, and also management board member at Takarékbank (Dow Jones Institutional News 2014). </w:t>
            </w:r>
          </w:p>
        </w:tc>
      </w:tr>
    </w:tbl>
    <w:p w14:paraId="25F6A67E" w14:textId="77777777" w:rsidR="007C7948" w:rsidRDefault="007C7948"/>
    <w:p w14:paraId="42F31A92" w14:textId="034F1AC0" w:rsidR="008E7877" w:rsidRDefault="008E7877">
      <w:r>
        <w:br w:type="page"/>
      </w:r>
    </w:p>
    <w:p w14:paraId="6FFA37B7" w14:textId="1E789CD0" w:rsidR="008E5961" w:rsidRPr="00976F4C" w:rsidRDefault="008E5961" w:rsidP="008E5961">
      <w:pPr>
        <w:pStyle w:val="Heading1"/>
        <w:rPr>
          <w:rFonts w:ascii="Cambria" w:hAnsi="Cambria"/>
          <w:color w:val="auto"/>
          <w:sz w:val="24"/>
          <w:szCs w:val="24"/>
        </w:rPr>
      </w:pPr>
      <w:bookmarkStart w:id="6" w:name="_Toc470120881"/>
      <w:r>
        <w:rPr>
          <w:rFonts w:ascii="Cambria" w:hAnsi="Cambria"/>
          <w:color w:val="auto"/>
          <w:sz w:val="24"/>
          <w:szCs w:val="24"/>
        </w:rPr>
        <w:t>A.3.2</w:t>
      </w:r>
      <w:r w:rsidRPr="00976F4C">
        <w:rPr>
          <w:rFonts w:ascii="Cambria" w:hAnsi="Cambria"/>
          <w:color w:val="auto"/>
          <w:sz w:val="24"/>
          <w:szCs w:val="24"/>
        </w:rPr>
        <w:t xml:space="preserve">. </w:t>
      </w:r>
      <w:r>
        <w:rPr>
          <w:rFonts w:ascii="Cambria" w:hAnsi="Cambria"/>
          <w:color w:val="auto"/>
          <w:sz w:val="24"/>
          <w:szCs w:val="24"/>
        </w:rPr>
        <w:t>The reform of development institutions</w:t>
      </w:r>
      <w:bookmarkEnd w:id="6"/>
    </w:p>
    <w:p w14:paraId="229D1D46" w14:textId="77777777" w:rsidR="00FF73F4" w:rsidRDefault="00FF73F4" w:rsidP="00FF73F4"/>
    <w:p w14:paraId="0078C7B2" w14:textId="77777777" w:rsidR="00FF73F4" w:rsidRDefault="00FF73F4" w:rsidP="00FF73F4"/>
    <w:p w14:paraId="1424A484" w14:textId="157DC081" w:rsidR="008E5961" w:rsidRPr="008E5961" w:rsidRDefault="003547C4" w:rsidP="008E5961">
      <w:pPr>
        <w:pStyle w:val="Heading2"/>
        <w:rPr>
          <w:rFonts w:ascii="Cambria" w:hAnsi="Cambria"/>
          <w:b w:val="0"/>
          <w:i/>
          <w:color w:val="auto"/>
          <w:sz w:val="24"/>
          <w:szCs w:val="24"/>
        </w:rPr>
      </w:pPr>
      <w:bookmarkStart w:id="7" w:name="_Toc470120882"/>
      <w:r>
        <w:rPr>
          <w:rFonts w:ascii="Cambria" w:hAnsi="Cambria"/>
          <w:b w:val="0"/>
          <w:i/>
          <w:color w:val="auto"/>
          <w:sz w:val="24"/>
          <w:szCs w:val="24"/>
        </w:rPr>
        <w:t xml:space="preserve">A.3.2.1 </w:t>
      </w:r>
      <w:r w:rsidR="008E5961" w:rsidRPr="008E5961">
        <w:rPr>
          <w:rFonts w:ascii="Cambria" w:hAnsi="Cambria"/>
          <w:b w:val="0"/>
          <w:i/>
          <w:color w:val="auto"/>
          <w:sz w:val="24"/>
          <w:szCs w:val="24"/>
        </w:rPr>
        <w:t>Polish system of development institutions</w:t>
      </w:r>
      <w:bookmarkEnd w:id="7"/>
    </w:p>
    <w:p w14:paraId="5CC82455" w14:textId="77777777" w:rsidR="008E5961" w:rsidRDefault="008E5961" w:rsidP="00FF73F4"/>
    <w:p w14:paraId="3A1C47BD" w14:textId="77777777" w:rsidR="008E5961" w:rsidRDefault="008E5961" w:rsidP="00FF73F4"/>
    <w:tbl>
      <w:tblPr>
        <w:tblStyle w:val="TableGrid"/>
        <w:tblW w:w="0" w:type="auto"/>
        <w:tblLook w:val="04A0" w:firstRow="1" w:lastRow="0" w:firstColumn="1" w:lastColumn="0" w:noHBand="0" w:noVBand="1"/>
      </w:tblPr>
      <w:tblGrid>
        <w:gridCol w:w="2472"/>
        <w:gridCol w:w="1326"/>
        <w:gridCol w:w="2930"/>
        <w:gridCol w:w="2128"/>
      </w:tblGrid>
      <w:tr w:rsidR="00FF73F4" w14:paraId="5492E7EA" w14:textId="77777777" w:rsidTr="000F0E8C">
        <w:tc>
          <w:tcPr>
            <w:tcW w:w="8856" w:type="dxa"/>
            <w:gridSpan w:val="4"/>
            <w:tcBorders>
              <w:top w:val="nil"/>
              <w:left w:val="nil"/>
              <w:right w:val="nil"/>
            </w:tcBorders>
          </w:tcPr>
          <w:p w14:paraId="3491B328" w14:textId="0FDC6790" w:rsidR="00FF73F4" w:rsidRDefault="00FF73F4" w:rsidP="0057718D">
            <w:pPr>
              <w:tabs>
                <w:tab w:val="right" w:pos="8640"/>
              </w:tabs>
              <w:rPr>
                <w:b/>
              </w:rPr>
            </w:pPr>
            <w:r>
              <w:rPr>
                <w:b/>
              </w:rPr>
              <w:t>Institutions forming the Polish Development Fund Group</w:t>
            </w:r>
            <w:r w:rsidR="0057718D">
              <w:rPr>
                <w:b/>
              </w:rPr>
              <w:tab/>
            </w:r>
          </w:p>
        </w:tc>
      </w:tr>
      <w:tr w:rsidR="00FF73F4" w14:paraId="39414C96" w14:textId="77777777" w:rsidTr="00FF73F4">
        <w:tc>
          <w:tcPr>
            <w:tcW w:w="2472" w:type="dxa"/>
          </w:tcPr>
          <w:p w14:paraId="22D7CDF2" w14:textId="77777777" w:rsidR="00FF73F4" w:rsidRDefault="00FF73F4" w:rsidP="00FF73F4"/>
        </w:tc>
        <w:tc>
          <w:tcPr>
            <w:tcW w:w="1326" w:type="dxa"/>
          </w:tcPr>
          <w:p w14:paraId="4C04751C" w14:textId="77777777" w:rsidR="00FF73F4" w:rsidRPr="004461FB" w:rsidRDefault="00FF73F4" w:rsidP="00FF73F4">
            <w:pPr>
              <w:jc w:val="center"/>
              <w:rPr>
                <w:b/>
              </w:rPr>
            </w:pPr>
            <w:r w:rsidRPr="004461FB">
              <w:rPr>
                <w:b/>
              </w:rPr>
              <w:t>Date of creation</w:t>
            </w:r>
          </w:p>
        </w:tc>
        <w:tc>
          <w:tcPr>
            <w:tcW w:w="2930" w:type="dxa"/>
          </w:tcPr>
          <w:p w14:paraId="620D95DA" w14:textId="77777777" w:rsidR="00FF73F4" w:rsidRPr="004461FB" w:rsidRDefault="00FF73F4" w:rsidP="00FF73F4">
            <w:pPr>
              <w:jc w:val="center"/>
              <w:rPr>
                <w:b/>
              </w:rPr>
            </w:pPr>
            <w:r>
              <w:rPr>
                <w:b/>
              </w:rPr>
              <w:t>Main authority in charge before 2016</w:t>
            </w:r>
          </w:p>
        </w:tc>
        <w:tc>
          <w:tcPr>
            <w:tcW w:w="2128" w:type="dxa"/>
          </w:tcPr>
          <w:p w14:paraId="3E3AAE80" w14:textId="77777777" w:rsidR="00FF73F4" w:rsidRPr="004461FB" w:rsidRDefault="00FF73F4" w:rsidP="00FF73F4">
            <w:pPr>
              <w:jc w:val="center"/>
              <w:rPr>
                <w:b/>
              </w:rPr>
            </w:pPr>
            <w:r>
              <w:rPr>
                <w:b/>
              </w:rPr>
              <w:t>Main authority in charge from 2016</w:t>
            </w:r>
          </w:p>
          <w:p w14:paraId="6C454A53" w14:textId="77777777" w:rsidR="00FF73F4" w:rsidRPr="004461FB" w:rsidRDefault="00FF73F4" w:rsidP="00FF73F4">
            <w:pPr>
              <w:rPr>
                <w:b/>
              </w:rPr>
            </w:pPr>
          </w:p>
        </w:tc>
      </w:tr>
      <w:tr w:rsidR="00FF73F4" w14:paraId="32A99632" w14:textId="77777777" w:rsidTr="00FF73F4">
        <w:tc>
          <w:tcPr>
            <w:tcW w:w="2472" w:type="dxa"/>
          </w:tcPr>
          <w:p w14:paraId="1923E8D7" w14:textId="77777777" w:rsidR="00FF73F4" w:rsidRDefault="00FF73F4" w:rsidP="00FF73F4">
            <w:r>
              <w:t>Bank Gospodarstwa Krajowego (BGK)</w:t>
            </w:r>
          </w:p>
        </w:tc>
        <w:tc>
          <w:tcPr>
            <w:tcW w:w="1326" w:type="dxa"/>
          </w:tcPr>
          <w:p w14:paraId="11A84B7D" w14:textId="77777777" w:rsidR="00FF73F4" w:rsidRDefault="00FF73F4" w:rsidP="00FF73F4">
            <w:pPr>
              <w:jc w:val="center"/>
            </w:pPr>
            <w:r>
              <w:t>1989 (1924)</w:t>
            </w:r>
          </w:p>
        </w:tc>
        <w:tc>
          <w:tcPr>
            <w:tcW w:w="2930" w:type="dxa"/>
            <w:vAlign w:val="center"/>
          </w:tcPr>
          <w:p w14:paraId="0064A38D" w14:textId="77777777" w:rsidR="00FF73F4" w:rsidRDefault="00FF73F4" w:rsidP="00FF73F4">
            <w:pPr>
              <w:jc w:val="center"/>
            </w:pPr>
            <w:r>
              <w:t>Ministry of Finance</w:t>
            </w:r>
          </w:p>
        </w:tc>
        <w:tc>
          <w:tcPr>
            <w:tcW w:w="2128" w:type="dxa"/>
            <w:vMerge w:val="restart"/>
            <w:vAlign w:val="center"/>
          </w:tcPr>
          <w:p w14:paraId="2FE300FC" w14:textId="77777777" w:rsidR="00FF73F4" w:rsidRDefault="00FF73F4" w:rsidP="00FF73F4">
            <w:pPr>
              <w:jc w:val="center"/>
            </w:pPr>
            <w:r>
              <w:t>Ministry of Development (and cooperation in “Polish Development Fund Group”)</w:t>
            </w:r>
          </w:p>
        </w:tc>
      </w:tr>
      <w:tr w:rsidR="00FF73F4" w14:paraId="4289CD7C" w14:textId="77777777" w:rsidTr="00FF73F4">
        <w:tc>
          <w:tcPr>
            <w:tcW w:w="2472" w:type="dxa"/>
          </w:tcPr>
          <w:p w14:paraId="2EF3CB71" w14:textId="77777777" w:rsidR="00FF73F4" w:rsidRDefault="00FF73F4" w:rsidP="00FF73F4">
            <w:r>
              <w:t>Industrial Development Agency (ARP)</w:t>
            </w:r>
          </w:p>
        </w:tc>
        <w:tc>
          <w:tcPr>
            <w:tcW w:w="1326" w:type="dxa"/>
          </w:tcPr>
          <w:p w14:paraId="59D06845" w14:textId="77777777" w:rsidR="00FF73F4" w:rsidRDefault="00FF73F4" w:rsidP="00FF73F4">
            <w:pPr>
              <w:jc w:val="center"/>
            </w:pPr>
            <w:r>
              <w:t>1991</w:t>
            </w:r>
          </w:p>
        </w:tc>
        <w:tc>
          <w:tcPr>
            <w:tcW w:w="2930" w:type="dxa"/>
            <w:vAlign w:val="center"/>
          </w:tcPr>
          <w:p w14:paraId="2B3CFE14" w14:textId="77777777" w:rsidR="00FF73F4" w:rsidRDefault="00FF73F4" w:rsidP="00FF73F4">
            <w:pPr>
              <w:jc w:val="center"/>
            </w:pPr>
            <w:r>
              <w:t>Ministry of the State Treasury</w:t>
            </w:r>
          </w:p>
        </w:tc>
        <w:tc>
          <w:tcPr>
            <w:tcW w:w="2128" w:type="dxa"/>
            <w:vMerge/>
          </w:tcPr>
          <w:p w14:paraId="5DEC0507" w14:textId="77777777" w:rsidR="00FF73F4" w:rsidRDefault="00FF73F4" w:rsidP="00FF73F4"/>
        </w:tc>
      </w:tr>
      <w:tr w:rsidR="00FF73F4" w14:paraId="0DF9CC22" w14:textId="77777777" w:rsidTr="00FF73F4">
        <w:tc>
          <w:tcPr>
            <w:tcW w:w="2472" w:type="dxa"/>
          </w:tcPr>
          <w:p w14:paraId="3B9CF61F" w14:textId="77777777" w:rsidR="00FF73F4" w:rsidRDefault="00FF73F4" w:rsidP="00FF73F4">
            <w:r>
              <w:t>Export Credit Insurance Corporation (KUKE)</w:t>
            </w:r>
          </w:p>
        </w:tc>
        <w:tc>
          <w:tcPr>
            <w:tcW w:w="1326" w:type="dxa"/>
          </w:tcPr>
          <w:p w14:paraId="0F9AE891" w14:textId="77777777" w:rsidR="00FF73F4" w:rsidRDefault="00FF73F4" w:rsidP="00FF73F4">
            <w:pPr>
              <w:jc w:val="center"/>
            </w:pPr>
            <w:r>
              <w:t>1994</w:t>
            </w:r>
          </w:p>
        </w:tc>
        <w:tc>
          <w:tcPr>
            <w:tcW w:w="2930" w:type="dxa"/>
            <w:vAlign w:val="center"/>
          </w:tcPr>
          <w:p w14:paraId="44D8CC55" w14:textId="77777777" w:rsidR="00FF73F4" w:rsidRDefault="00FF73F4" w:rsidP="00FF73F4">
            <w:pPr>
              <w:jc w:val="center"/>
            </w:pPr>
            <w:r>
              <w:t>Ministry of Finance</w:t>
            </w:r>
          </w:p>
        </w:tc>
        <w:tc>
          <w:tcPr>
            <w:tcW w:w="2128" w:type="dxa"/>
            <w:vMerge/>
          </w:tcPr>
          <w:p w14:paraId="4C23A18F" w14:textId="77777777" w:rsidR="00FF73F4" w:rsidRDefault="00FF73F4" w:rsidP="00FF73F4"/>
        </w:tc>
      </w:tr>
      <w:tr w:rsidR="00FF73F4" w14:paraId="7C8D18D7" w14:textId="77777777" w:rsidTr="00FF73F4">
        <w:tc>
          <w:tcPr>
            <w:tcW w:w="2472" w:type="dxa"/>
          </w:tcPr>
          <w:p w14:paraId="4318FE61" w14:textId="77777777" w:rsidR="00FF73F4" w:rsidRDefault="00FF73F4" w:rsidP="00FF73F4">
            <w:r>
              <w:t>Polish Agency for Enterprise Development (PARP)</w:t>
            </w:r>
          </w:p>
        </w:tc>
        <w:tc>
          <w:tcPr>
            <w:tcW w:w="1326" w:type="dxa"/>
          </w:tcPr>
          <w:p w14:paraId="30E3BAC3" w14:textId="77777777" w:rsidR="00FF73F4" w:rsidRDefault="00FF73F4" w:rsidP="00FF73F4">
            <w:pPr>
              <w:jc w:val="center"/>
            </w:pPr>
            <w:r>
              <w:t>2000</w:t>
            </w:r>
          </w:p>
        </w:tc>
        <w:tc>
          <w:tcPr>
            <w:tcW w:w="2930" w:type="dxa"/>
            <w:vAlign w:val="center"/>
          </w:tcPr>
          <w:p w14:paraId="2B80976B" w14:textId="77777777" w:rsidR="00FF73F4" w:rsidRDefault="00FF73F4" w:rsidP="00FF73F4">
            <w:pPr>
              <w:jc w:val="center"/>
            </w:pPr>
            <w:r>
              <w:t>Ministry of the Economy</w:t>
            </w:r>
          </w:p>
        </w:tc>
        <w:tc>
          <w:tcPr>
            <w:tcW w:w="2128" w:type="dxa"/>
            <w:vMerge/>
          </w:tcPr>
          <w:p w14:paraId="7F3DAFC5" w14:textId="77777777" w:rsidR="00FF73F4" w:rsidRDefault="00FF73F4" w:rsidP="00FF73F4"/>
        </w:tc>
      </w:tr>
      <w:tr w:rsidR="00FF73F4" w14:paraId="70C5227D" w14:textId="77777777" w:rsidTr="00FF73F4">
        <w:tc>
          <w:tcPr>
            <w:tcW w:w="2472" w:type="dxa"/>
          </w:tcPr>
          <w:p w14:paraId="4BFEEF1C" w14:textId="77777777" w:rsidR="00FF73F4" w:rsidRDefault="00FF73F4" w:rsidP="00FF73F4">
            <w:r>
              <w:t>Polish Information &amp; Foreign Investment Agency (PAIiIZ) –renamed Polish Investment &amp; Trade Agency (PAIH) in 2017</w:t>
            </w:r>
          </w:p>
        </w:tc>
        <w:tc>
          <w:tcPr>
            <w:tcW w:w="1326" w:type="dxa"/>
          </w:tcPr>
          <w:p w14:paraId="0E27DA85" w14:textId="77777777" w:rsidR="00FF73F4" w:rsidRDefault="00FF73F4" w:rsidP="00FF73F4">
            <w:pPr>
              <w:jc w:val="center"/>
            </w:pPr>
            <w:r>
              <w:t>2003 (through merger of 2 agencies created in 1991-92)</w:t>
            </w:r>
          </w:p>
        </w:tc>
        <w:tc>
          <w:tcPr>
            <w:tcW w:w="2930" w:type="dxa"/>
            <w:vAlign w:val="center"/>
          </w:tcPr>
          <w:p w14:paraId="29F6CF86" w14:textId="77777777" w:rsidR="00FF73F4" w:rsidRDefault="00FF73F4" w:rsidP="00FF73F4">
            <w:pPr>
              <w:jc w:val="center"/>
            </w:pPr>
            <w:r>
              <w:t>Ministry of the Economy</w:t>
            </w:r>
          </w:p>
        </w:tc>
        <w:tc>
          <w:tcPr>
            <w:tcW w:w="2128" w:type="dxa"/>
            <w:vMerge/>
          </w:tcPr>
          <w:p w14:paraId="7C840BC9" w14:textId="77777777" w:rsidR="00FF73F4" w:rsidRDefault="00FF73F4" w:rsidP="00FF73F4"/>
        </w:tc>
      </w:tr>
      <w:tr w:rsidR="00FF73F4" w14:paraId="2BDA01A5" w14:textId="77777777" w:rsidTr="000F0E8C">
        <w:tc>
          <w:tcPr>
            <w:tcW w:w="2472" w:type="dxa"/>
            <w:tcBorders>
              <w:bottom w:val="single" w:sz="4" w:space="0" w:color="auto"/>
            </w:tcBorders>
          </w:tcPr>
          <w:p w14:paraId="55C91B02" w14:textId="77777777" w:rsidR="00FF73F4" w:rsidRDefault="00FF73F4" w:rsidP="00FF73F4">
            <w:r>
              <w:t>Polish Development Investments (PIR) renamed Polish Development Fund (PFR) in 2016</w:t>
            </w:r>
          </w:p>
        </w:tc>
        <w:tc>
          <w:tcPr>
            <w:tcW w:w="1326" w:type="dxa"/>
            <w:tcBorders>
              <w:bottom w:val="single" w:sz="4" w:space="0" w:color="auto"/>
            </w:tcBorders>
          </w:tcPr>
          <w:p w14:paraId="1F1DF079" w14:textId="77777777" w:rsidR="00FF73F4" w:rsidRDefault="00FF73F4" w:rsidP="00FF73F4">
            <w:pPr>
              <w:jc w:val="center"/>
            </w:pPr>
            <w:r>
              <w:t>2013</w:t>
            </w:r>
          </w:p>
        </w:tc>
        <w:tc>
          <w:tcPr>
            <w:tcW w:w="2930" w:type="dxa"/>
            <w:tcBorders>
              <w:bottom w:val="single" w:sz="4" w:space="0" w:color="auto"/>
            </w:tcBorders>
            <w:vAlign w:val="center"/>
          </w:tcPr>
          <w:p w14:paraId="5A9F1624" w14:textId="77777777" w:rsidR="00FF73F4" w:rsidRDefault="00FF73F4" w:rsidP="00FF73F4">
            <w:pPr>
              <w:jc w:val="center"/>
            </w:pPr>
            <w:r>
              <w:t>Ministry of the State Treasury</w:t>
            </w:r>
          </w:p>
        </w:tc>
        <w:tc>
          <w:tcPr>
            <w:tcW w:w="2128" w:type="dxa"/>
            <w:vMerge/>
            <w:tcBorders>
              <w:bottom w:val="single" w:sz="4" w:space="0" w:color="auto"/>
            </w:tcBorders>
          </w:tcPr>
          <w:p w14:paraId="24214829" w14:textId="77777777" w:rsidR="00FF73F4" w:rsidRDefault="00FF73F4" w:rsidP="00FF73F4"/>
        </w:tc>
      </w:tr>
      <w:tr w:rsidR="00FF73F4" w14:paraId="2AD3029B" w14:textId="77777777" w:rsidTr="000F0E8C">
        <w:tc>
          <w:tcPr>
            <w:tcW w:w="8856" w:type="dxa"/>
            <w:gridSpan w:val="4"/>
            <w:tcBorders>
              <w:left w:val="nil"/>
              <w:bottom w:val="nil"/>
              <w:right w:val="nil"/>
            </w:tcBorders>
          </w:tcPr>
          <w:p w14:paraId="657DEBFC" w14:textId="77777777" w:rsidR="00FF73F4" w:rsidRDefault="00FF73F4" w:rsidP="00FF73F4">
            <w:r w:rsidRPr="00C84F73">
              <w:rPr>
                <w:i/>
              </w:rPr>
              <w:t>Source:</w:t>
            </w:r>
            <w:r>
              <w:t xml:space="preserve"> Own research </w:t>
            </w:r>
          </w:p>
        </w:tc>
      </w:tr>
    </w:tbl>
    <w:p w14:paraId="7C17C8E6" w14:textId="77777777" w:rsidR="00FF73F4" w:rsidRDefault="00FF73F4" w:rsidP="00FF73F4"/>
    <w:p w14:paraId="37832288" w14:textId="77777777" w:rsidR="00FF73F4" w:rsidRDefault="00FF73F4" w:rsidP="00FF73F4"/>
    <w:p w14:paraId="3CD0825D" w14:textId="77777777" w:rsidR="00FF73F4" w:rsidRDefault="00FF73F4" w:rsidP="00FF73F4">
      <w:r>
        <w:br w:type="page"/>
      </w:r>
    </w:p>
    <w:p w14:paraId="638E73CF" w14:textId="144EC964" w:rsidR="008E5961" w:rsidRPr="008E5961" w:rsidRDefault="003547C4" w:rsidP="008E5961">
      <w:pPr>
        <w:pStyle w:val="Heading2"/>
        <w:rPr>
          <w:rFonts w:ascii="Cambria" w:hAnsi="Cambria"/>
          <w:b w:val="0"/>
          <w:i/>
          <w:color w:val="auto"/>
          <w:sz w:val="24"/>
          <w:szCs w:val="24"/>
        </w:rPr>
      </w:pPr>
      <w:bookmarkStart w:id="8" w:name="_Toc470120883"/>
      <w:r>
        <w:rPr>
          <w:rFonts w:ascii="Cambria" w:hAnsi="Cambria"/>
          <w:b w:val="0"/>
          <w:i/>
          <w:color w:val="auto"/>
          <w:sz w:val="24"/>
          <w:szCs w:val="24"/>
        </w:rPr>
        <w:t xml:space="preserve">A.3.2.2. </w:t>
      </w:r>
      <w:r w:rsidR="008F0776">
        <w:rPr>
          <w:rFonts w:ascii="Cambria" w:hAnsi="Cambria"/>
          <w:b w:val="0"/>
          <w:i/>
          <w:color w:val="auto"/>
          <w:sz w:val="24"/>
          <w:szCs w:val="24"/>
        </w:rPr>
        <w:t>Supervisory boards</w:t>
      </w:r>
      <w:r w:rsidR="008E5961" w:rsidRPr="008E5961">
        <w:rPr>
          <w:rFonts w:ascii="Cambria" w:hAnsi="Cambria"/>
          <w:b w:val="0"/>
          <w:i/>
          <w:color w:val="auto"/>
          <w:sz w:val="24"/>
          <w:szCs w:val="24"/>
        </w:rPr>
        <w:t xml:space="preserve"> of </w:t>
      </w:r>
      <w:r w:rsidR="008F0776">
        <w:rPr>
          <w:rFonts w:ascii="Cambria" w:hAnsi="Cambria"/>
          <w:b w:val="0"/>
          <w:i/>
          <w:color w:val="auto"/>
          <w:sz w:val="24"/>
          <w:szCs w:val="24"/>
        </w:rPr>
        <w:t>development banks in selected EU countries</w:t>
      </w:r>
      <w:bookmarkEnd w:id="8"/>
    </w:p>
    <w:p w14:paraId="26260427" w14:textId="77777777" w:rsidR="00FF73F4" w:rsidRDefault="00FF73F4" w:rsidP="00FF73F4"/>
    <w:p w14:paraId="1B7A01E5" w14:textId="77777777" w:rsidR="00FF73F4" w:rsidRDefault="00FF73F4" w:rsidP="00FF73F4"/>
    <w:tbl>
      <w:tblPr>
        <w:tblStyle w:val="TableGrid"/>
        <w:tblW w:w="0" w:type="auto"/>
        <w:tblLayout w:type="fixed"/>
        <w:tblLook w:val="04A0" w:firstRow="1" w:lastRow="0" w:firstColumn="1" w:lastColumn="0" w:noHBand="0" w:noVBand="1"/>
      </w:tblPr>
      <w:tblGrid>
        <w:gridCol w:w="1098"/>
        <w:gridCol w:w="1260"/>
        <w:gridCol w:w="990"/>
        <w:gridCol w:w="1836"/>
        <w:gridCol w:w="1836"/>
        <w:gridCol w:w="1836"/>
      </w:tblGrid>
      <w:tr w:rsidR="00FF73F4" w14:paraId="5BB67F25" w14:textId="77777777" w:rsidTr="00594D4E">
        <w:tc>
          <w:tcPr>
            <w:tcW w:w="8856" w:type="dxa"/>
            <w:gridSpan w:val="6"/>
            <w:tcBorders>
              <w:top w:val="nil"/>
              <w:left w:val="nil"/>
              <w:right w:val="nil"/>
            </w:tcBorders>
          </w:tcPr>
          <w:p w14:paraId="32A76ABC" w14:textId="2D90C178" w:rsidR="00FF73F4" w:rsidRPr="001761E5" w:rsidRDefault="00FF73F4" w:rsidP="002E4517">
            <w:pPr>
              <w:rPr>
                <w:rFonts w:ascii="Cambria" w:hAnsi="Cambria"/>
                <w:b/>
              </w:rPr>
            </w:pPr>
            <w:r>
              <w:rPr>
                <w:rFonts w:ascii="Cambria" w:hAnsi="Cambria"/>
                <w:b/>
              </w:rPr>
              <w:t>Composition of Supervisory Boards of National Development Banks, 2020</w:t>
            </w:r>
            <w:r w:rsidRPr="005D4340">
              <w:rPr>
                <w:rFonts w:ascii="Cambria" w:hAnsi="Cambria"/>
                <w:b/>
                <w:vertAlign w:val="superscript"/>
              </w:rPr>
              <w:t>1</w:t>
            </w:r>
          </w:p>
        </w:tc>
      </w:tr>
      <w:tr w:rsidR="00FF73F4" w14:paraId="259744C1" w14:textId="77777777" w:rsidTr="00594D4E">
        <w:tc>
          <w:tcPr>
            <w:tcW w:w="1098" w:type="dxa"/>
          </w:tcPr>
          <w:p w14:paraId="033887E9" w14:textId="77777777" w:rsidR="00FF73F4" w:rsidRPr="00594D4E" w:rsidRDefault="00FF73F4" w:rsidP="00FF73F4">
            <w:pPr>
              <w:rPr>
                <w:rFonts w:ascii="Cambria" w:hAnsi="Cambria"/>
                <w:b/>
                <w:sz w:val="22"/>
                <w:szCs w:val="22"/>
              </w:rPr>
            </w:pPr>
            <w:r w:rsidRPr="00594D4E">
              <w:rPr>
                <w:rFonts w:ascii="Cambria" w:hAnsi="Cambria"/>
                <w:b/>
                <w:sz w:val="22"/>
                <w:szCs w:val="22"/>
              </w:rPr>
              <w:t>Country</w:t>
            </w:r>
          </w:p>
        </w:tc>
        <w:tc>
          <w:tcPr>
            <w:tcW w:w="1260" w:type="dxa"/>
          </w:tcPr>
          <w:p w14:paraId="2AC2A47A" w14:textId="77777777" w:rsidR="00FF73F4" w:rsidRPr="00594D4E" w:rsidRDefault="00FF73F4" w:rsidP="00FF73F4">
            <w:pPr>
              <w:rPr>
                <w:rFonts w:ascii="Cambria" w:hAnsi="Cambria"/>
                <w:b/>
                <w:sz w:val="22"/>
                <w:szCs w:val="22"/>
              </w:rPr>
            </w:pPr>
            <w:r w:rsidRPr="00594D4E">
              <w:rPr>
                <w:rFonts w:ascii="Cambria" w:hAnsi="Cambria"/>
                <w:b/>
                <w:sz w:val="22"/>
                <w:szCs w:val="22"/>
              </w:rPr>
              <w:t>Institution</w:t>
            </w:r>
          </w:p>
        </w:tc>
        <w:tc>
          <w:tcPr>
            <w:tcW w:w="990" w:type="dxa"/>
          </w:tcPr>
          <w:p w14:paraId="082CA3F5" w14:textId="77777777" w:rsidR="00FF73F4" w:rsidRPr="00594D4E" w:rsidRDefault="00FF73F4" w:rsidP="00FF73F4">
            <w:pPr>
              <w:jc w:val="center"/>
              <w:rPr>
                <w:rFonts w:ascii="Cambria" w:hAnsi="Cambria"/>
                <w:b/>
                <w:sz w:val="22"/>
                <w:szCs w:val="22"/>
              </w:rPr>
            </w:pPr>
            <w:r w:rsidRPr="00594D4E">
              <w:rPr>
                <w:rFonts w:ascii="Cambria" w:hAnsi="Cambria"/>
                <w:b/>
                <w:sz w:val="22"/>
                <w:szCs w:val="22"/>
              </w:rPr>
              <w:t>Year of creation</w:t>
            </w:r>
          </w:p>
        </w:tc>
        <w:tc>
          <w:tcPr>
            <w:tcW w:w="1836" w:type="dxa"/>
          </w:tcPr>
          <w:p w14:paraId="339AAAFF" w14:textId="77777777" w:rsidR="00FF73F4" w:rsidRPr="00594D4E" w:rsidRDefault="00FF73F4" w:rsidP="00FF73F4">
            <w:pPr>
              <w:jc w:val="center"/>
              <w:rPr>
                <w:rFonts w:ascii="Cambria" w:hAnsi="Cambria"/>
                <w:b/>
                <w:sz w:val="22"/>
                <w:szCs w:val="22"/>
              </w:rPr>
            </w:pPr>
            <w:r w:rsidRPr="00594D4E">
              <w:rPr>
                <w:rFonts w:ascii="Cambria" w:hAnsi="Cambria"/>
                <w:b/>
                <w:sz w:val="22"/>
                <w:szCs w:val="22"/>
              </w:rPr>
              <w:t>State nominees</w:t>
            </w:r>
          </w:p>
        </w:tc>
        <w:tc>
          <w:tcPr>
            <w:tcW w:w="1836" w:type="dxa"/>
          </w:tcPr>
          <w:p w14:paraId="4F9ECCEE" w14:textId="77777777" w:rsidR="00FF73F4" w:rsidRPr="00594D4E" w:rsidRDefault="00FF73F4" w:rsidP="00FF73F4">
            <w:pPr>
              <w:jc w:val="center"/>
              <w:rPr>
                <w:rFonts w:ascii="Cambria" w:hAnsi="Cambria"/>
                <w:b/>
                <w:sz w:val="22"/>
                <w:szCs w:val="22"/>
              </w:rPr>
            </w:pPr>
            <w:r w:rsidRPr="00594D4E">
              <w:rPr>
                <w:rFonts w:ascii="Cambria" w:hAnsi="Cambria"/>
                <w:b/>
                <w:sz w:val="22"/>
                <w:szCs w:val="22"/>
              </w:rPr>
              <w:t>Representatives of business</w:t>
            </w:r>
          </w:p>
        </w:tc>
        <w:tc>
          <w:tcPr>
            <w:tcW w:w="1836" w:type="dxa"/>
          </w:tcPr>
          <w:p w14:paraId="1A28AD91" w14:textId="77777777" w:rsidR="00FF73F4" w:rsidRPr="00594D4E" w:rsidRDefault="00FF73F4" w:rsidP="00FF73F4">
            <w:pPr>
              <w:jc w:val="center"/>
              <w:rPr>
                <w:rFonts w:ascii="Cambria" w:hAnsi="Cambria"/>
                <w:b/>
                <w:sz w:val="22"/>
                <w:szCs w:val="22"/>
              </w:rPr>
            </w:pPr>
            <w:r w:rsidRPr="00594D4E">
              <w:rPr>
                <w:rFonts w:ascii="Cambria" w:hAnsi="Cambria"/>
                <w:b/>
                <w:sz w:val="22"/>
                <w:szCs w:val="22"/>
              </w:rPr>
              <w:t>Other</w:t>
            </w:r>
          </w:p>
        </w:tc>
      </w:tr>
      <w:tr w:rsidR="00FF73F4" w:rsidRPr="00594D4E" w14:paraId="0EDE2EE3" w14:textId="77777777" w:rsidTr="00594D4E">
        <w:tc>
          <w:tcPr>
            <w:tcW w:w="1098" w:type="dxa"/>
            <w:vMerge w:val="restart"/>
          </w:tcPr>
          <w:p w14:paraId="373578FB" w14:textId="77777777" w:rsidR="00FF73F4" w:rsidRPr="00594D4E" w:rsidRDefault="00FF73F4" w:rsidP="00FF73F4">
            <w:pPr>
              <w:rPr>
                <w:rFonts w:ascii="Cambria" w:hAnsi="Cambria"/>
                <w:sz w:val="22"/>
                <w:szCs w:val="22"/>
              </w:rPr>
            </w:pPr>
            <w:r w:rsidRPr="00594D4E">
              <w:rPr>
                <w:rFonts w:ascii="Cambria" w:hAnsi="Cambria"/>
                <w:sz w:val="22"/>
                <w:szCs w:val="22"/>
              </w:rPr>
              <w:t>Poland</w:t>
            </w:r>
          </w:p>
        </w:tc>
        <w:tc>
          <w:tcPr>
            <w:tcW w:w="1260" w:type="dxa"/>
          </w:tcPr>
          <w:p w14:paraId="196EF8FF" w14:textId="77777777" w:rsidR="00FF73F4" w:rsidRPr="00594D4E" w:rsidRDefault="00FF73F4" w:rsidP="00FF73F4">
            <w:pPr>
              <w:rPr>
                <w:rFonts w:ascii="Cambria" w:hAnsi="Cambria"/>
                <w:sz w:val="22"/>
                <w:szCs w:val="22"/>
              </w:rPr>
            </w:pPr>
            <w:r w:rsidRPr="00594D4E">
              <w:rPr>
                <w:rFonts w:ascii="Cambria" w:hAnsi="Cambria"/>
                <w:sz w:val="22"/>
                <w:szCs w:val="22"/>
              </w:rPr>
              <w:t>BGK</w:t>
            </w:r>
          </w:p>
        </w:tc>
        <w:tc>
          <w:tcPr>
            <w:tcW w:w="990" w:type="dxa"/>
          </w:tcPr>
          <w:p w14:paraId="515310DF" w14:textId="77777777" w:rsidR="00FF73F4" w:rsidRPr="00594D4E" w:rsidRDefault="00FF73F4" w:rsidP="00FF73F4">
            <w:pPr>
              <w:jc w:val="center"/>
              <w:rPr>
                <w:rFonts w:ascii="Cambria" w:hAnsi="Cambria"/>
                <w:sz w:val="22"/>
                <w:szCs w:val="22"/>
              </w:rPr>
            </w:pPr>
            <w:r w:rsidRPr="00594D4E">
              <w:rPr>
                <w:rFonts w:ascii="Cambria" w:hAnsi="Cambria"/>
                <w:sz w:val="22"/>
                <w:szCs w:val="22"/>
              </w:rPr>
              <w:t>1924</w:t>
            </w:r>
          </w:p>
        </w:tc>
        <w:tc>
          <w:tcPr>
            <w:tcW w:w="1836" w:type="dxa"/>
          </w:tcPr>
          <w:p w14:paraId="7ABB2ABA" w14:textId="77777777" w:rsidR="00FF73F4" w:rsidRPr="00594D4E" w:rsidRDefault="00FF73F4" w:rsidP="00FF73F4">
            <w:pPr>
              <w:jc w:val="center"/>
              <w:rPr>
                <w:rFonts w:ascii="Cambria" w:hAnsi="Cambria"/>
                <w:sz w:val="22"/>
                <w:szCs w:val="22"/>
              </w:rPr>
            </w:pPr>
            <w:r w:rsidRPr="00594D4E">
              <w:rPr>
                <w:rFonts w:ascii="Cambria" w:hAnsi="Cambria"/>
                <w:sz w:val="22"/>
                <w:szCs w:val="22"/>
              </w:rPr>
              <w:t>14 directors nominated by different Ministers (Economy; Finance; Regional Development; Construction; Transport, etc.)</w:t>
            </w:r>
          </w:p>
        </w:tc>
        <w:tc>
          <w:tcPr>
            <w:tcW w:w="1836" w:type="dxa"/>
          </w:tcPr>
          <w:p w14:paraId="79631B1A" w14:textId="77777777" w:rsidR="00FF73F4" w:rsidRPr="00594D4E" w:rsidRDefault="00FF73F4" w:rsidP="00FF73F4">
            <w:pPr>
              <w:jc w:val="center"/>
              <w:rPr>
                <w:rFonts w:ascii="Cambria" w:hAnsi="Cambria"/>
                <w:sz w:val="22"/>
                <w:szCs w:val="22"/>
              </w:rPr>
            </w:pPr>
          </w:p>
        </w:tc>
        <w:tc>
          <w:tcPr>
            <w:tcW w:w="1836" w:type="dxa"/>
          </w:tcPr>
          <w:p w14:paraId="6A13A642" w14:textId="77777777" w:rsidR="00FF73F4" w:rsidRPr="00594D4E" w:rsidRDefault="00FF73F4" w:rsidP="00FF73F4">
            <w:pPr>
              <w:jc w:val="center"/>
              <w:rPr>
                <w:rFonts w:ascii="Cambria" w:hAnsi="Cambria"/>
                <w:sz w:val="22"/>
                <w:szCs w:val="22"/>
              </w:rPr>
            </w:pPr>
          </w:p>
        </w:tc>
      </w:tr>
      <w:tr w:rsidR="00FF73F4" w:rsidRPr="00594D4E" w14:paraId="3BE1EC23" w14:textId="77777777" w:rsidTr="00594D4E">
        <w:tc>
          <w:tcPr>
            <w:tcW w:w="1098" w:type="dxa"/>
            <w:vMerge/>
          </w:tcPr>
          <w:p w14:paraId="7CB96612" w14:textId="77777777" w:rsidR="00FF73F4" w:rsidRPr="00594D4E" w:rsidRDefault="00FF73F4" w:rsidP="00FF73F4">
            <w:pPr>
              <w:rPr>
                <w:rFonts w:ascii="Cambria" w:hAnsi="Cambria"/>
                <w:sz w:val="22"/>
                <w:szCs w:val="22"/>
              </w:rPr>
            </w:pPr>
          </w:p>
        </w:tc>
        <w:tc>
          <w:tcPr>
            <w:tcW w:w="1260" w:type="dxa"/>
          </w:tcPr>
          <w:p w14:paraId="64EA12D9" w14:textId="77777777" w:rsidR="00FF73F4" w:rsidRDefault="00FF73F4" w:rsidP="00FF73F4">
            <w:pPr>
              <w:rPr>
                <w:rFonts w:ascii="Cambria" w:hAnsi="Cambria"/>
                <w:sz w:val="22"/>
                <w:szCs w:val="22"/>
              </w:rPr>
            </w:pPr>
            <w:r w:rsidRPr="00594D4E">
              <w:rPr>
                <w:rFonts w:ascii="Cambria" w:hAnsi="Cambria"/>
                <w:sz w:val="22"/>
                <w:szCs w:val="22"/>
              </w:rPr>
              <w:t>PIR</w:t>
            </w:r>
          </w:p>
          <w:p w14:paraId="6F8DB5CD" w14:textId="02E1F4AA" w:rsidR="0095250E" w:rsidRPr="0095250E" w:rsidRDefault="0095250E" w:rsidP="00FF73F4">
            <w:pPr>
              <w:rPr>
                <w:rFonts w:ascii="Cambria" w:hAnsi="Cambria"/>
                <w:i/>
                <w:sz w:val="20"/>
                <w:szCs w:val="20"/>
              </w:rPr>
            </w:pPr>
            <w:r w:rsidRPr="0095250E">
              <w:rPr>
                <w:rFonts w:ascii="Cambria" w:hAnsi="Cambria"/>
                <w:i/>
                <w:sz w:val="20"/>
                <w:szCs w:val="20"/>
              </w:rPr>
              <w:t>(replaced by PFR in 2016)</w:t>
            </w:r>
          </w:p>
        </w:tc>
        <w:tc>
          <w:tcPr>
            <w:tcW w:w="990" w:type="dxa"/>
          </w:tcPr>
          <w:p w14:paraId="2F5B4D7C" w14:textId="77777777" w:rsidR="00FF73F4" w:rsidRDefault="00FF73F4" w:rsidP="00FF73F4">
            <w:pPr>
              <w:jc w:val="center"/>
              <w:rPr>
                <w:rFonts w:ascii="Cambria" w:hAnsi="Cambria"/>
                <w:sz w:val="22"/>
                <w:szCs w:val="22"/>
              </w:rPr>
            </w:pPr>
            <w:r w:rsidRPr="00594D4E">
              <w:rPr>
                <w:rFonts w:ascii="Cambria" w:hAnsi="Cambria"/>
                <w:sz w:val="22"/>
                <w:szCs w:val="22"/>
              </w:rPr>
              <w:t>2013</w:t>
            </w:r>
          </w:p>
          <w:p w14:paraId="2A845DA7" w14:textId="5EC27407" w:rsidR="0095250E" w:rsidRPr="0095250E" w:rsidRDefault="0095250E" w:rsidP="00FF73F4">
            <w:pPr>
              <w:jc w:val="center"/>
              <w:rPr>
                <w:rFonts w:ascii="Cambria" w:hAnsi="Cambria"/>
                <w:sz w:val="18"/>
                <w:szCs w:val="18"/>
              </w:rPr>
            </w:pPr>
          </w:p>
        </w:tc>
        <w:tc>
          <w:tcPr>
            <w:tcW w:w="1836" w:type="dxa"/>
          </w:tcPr>
          <w:p w14:paraId="3309A3F7" w14:textId="77777777" w:rsidR="00FF73F4" w:rsidRPr="00594D4E" w:rsidRDefault="00FF73F4" w:rsidP="00FF73F4">
            <w:pPr>
              <w:jc w:val="center"/>
              <w:rPr>
                <w:rFonts w:ascii="Cambria" w:hAnsi="Cambria"/>
                <w:sz w:val="22"/>
                <w:szCs w:val="22"/>
              </w:rPr>
            </w:pPr>
            <w:r w:rsidRPr="00594D4E">
              <w:rPr>
                <w:rFonts w:ascii="Cambria" w:hAnsi="Cambria"/>
                <w:sz w:val="22"/>
                <w:szCs w:val="22"/>
              </w:rPr>
              <w:t>4 directors nominated by different public authorities (2 by Minister of State Treasury; 1 by Minister of Finance; 1 by BGK)</w:t>
            </w:r>
          </w:p>
        </w:tc>
        <w:tc>
          <w:tcPr>
            <w:tcW w:w="1836" w:type="dxa"/>
          </w:tcPr>
          <w:p w14:paraId="13E3FB79" w14:textId="77777777" w:rsidR="00FF73F4" w:rsidRPr="00594D4E" w:rsidRDefault="00FF73F4" w:rsidP="00FF73F4">
            <w:pPr>
              <w:jc w:val="center"/>
              <w:rPr>
                <w:rFonts w:ascii="Cambria" w:hAnsi="Cambria"/>
                <w:sz w:val="22"/>
                <w:szCs w:val="22"/>
              </w:rPr>
            </w:pPr>
            <w:r w:rsidRPr="00594D4E">
              <w:rPr>
                <w:rFonts w:ascii="Cambria" w:hAnsi="Cambria"/>
                <w:sz w:val="22"/>
                <w:szCs w:val="22"/>
              </w:rPr>
              <w:t>5 independent directors from the private sector</w:t>
            </w:r>
          </w:p>
        </w:tc>
        <w:tc>
          <w:tcPr>
            <w:tcW w:w="1836" w:type="dxa"/>
          </w:tcPr>
          <w:p w14:paraId="2C330209" w14:textId="77777777" w:rsidR="00FF73F4" w:rsidRPr="00594D4E" w:rsidRDefault="00FF73F4" w:rsidP="00FF73F4">
            <w:pPr>
              <w:jc w:val="center"/>
              <w:rPr>
                <w:rFonts w:ascii="Cambria" w:hAnsi="Cambria"/>
                <w:sz w:val="22"/>
                <w:szCs w:val="22"/>
              </w:rPr>
            </w:pPr>
          </w:p>
        </w:tc>
      </w:tr>
      <w:tr w:rsidR="00FF73F4" w:rsidRPr="00594D4E" w14:paraId="56C16A28" w14:textId="77777777" w:rsidTr="00594D4E">
        <w:tc>
          <w:tcPr>
            <w:tcW w:w="1098" w:type="dxa"/>
            <w:vMerge/>
          </w:tcPr>
          <w:p w14:paraId="652CBE86" w14:textId="77777777" w:rsidR="00FF73F4" w:rsidRPr="00594D4E" w:rsidRDefault="00FF73F4" w:rsidP="00FF73F4">
            <w:pPr>
              <w:rPr>
                <w:rFonts w:ascii="Cambria" w:hAnsi="Cambria"/>
                <w:sz w:val="22"/>
                <w:szCs w:val="22"/>
              </w:rPr>
            </w:pPr>
          </w:p>
        </w:tc>
        <w:tc>
          <w:tcPr>
            <w:tcW w:w="1260" w:type="dxa"/>
          </w:tcPr>
          <w:p w14:paraId="00960349" w14:textId="77777777" w:rsidR="00FF73F4" w:rsidRPr="00594D4E" w:rsidRDefault="00FF73F4" w:rsidP="00FF73F4">
            <w:pPr>
              <w:rPr>
                <w:rFonts w:ascii="Cambria" w:hAnsi="Cambria"/>
                <w:sz w:val="22"/>
                <w:szCs w:val="22"/>
              </w:rPr>
            </w:pPr>
            <w:r w:rsidRPr="00594D4E">
              <w:rPr>
                <w:rFonts w:ascii="Cambria" w:hAnsi="Cambria"/>
                <w:sz w:val="22"/>
                <w:szCs w:val="22"/>
              </w:rPr>
              <w:t>PFR</w:t>
            </w:r>
          </w:p>
        </w:tc>
        <w:tc>
          <w:tcPr>
            <w:tcW w:w="990" w:type="dxa"/>
          </w:tcPr>
          <w:p w14:paraId="1608AA84" w14:textId="77777777" w:rsidR="00FF73F4" w:rsidRPr="00594D4E" w:rsidRDefault="00FF73F4" w:rsidP="00FF73F4">
            <w:pPr>
              <w:jc w:val="center"/>
              <w:rPr>
                <w:rFonts w:ascii="Cambria" w:hAnsi="Cambria"/>
                <w:sz w:val="22"/>
                <w:szCs w:val="22"/>
              </w:rPr>
            </w:pPr>
            <w:r w:rsidRPr="00594D4E">
              <w:rPr>
                <w:rFonts w:ascii="Cambria" w:hAnsi="Cambria"/>
                <w:sz w:val="22"/>
                <w:szCs w:val="22"/>
              </w:rPr>
              <w:t>2016</w:t>
            </w:r>
          </w:p>
        </w:tc>
        <w:tc>
          <w:tcPr>
            <w:tcW w:w="5508" w:type="dxa"/>
            <w:gridSpan w:val="3"/>
          </w:tcPr>
          <w:p w14:paraId="658236C2" w14:textId="77777777" w:rsidR="00FF73F4" w:rsidRPr="00594D4E" w:rsidRDefault="00FF73F4" w:rsidP="00FF73F4">
            <w:pPr>
              <w:jc w:val="center"/>
              <w:rPr>
                <w:rFonts w:ascii="Cambria" w:hAnsi="Cambria"/>
                <w:sz w:val="22"/>
                <w:szCs w:val="22"/>
              </w:rPr>
            </w:pPr>
            <w:r w:rsidRPr="00594D4E">
              <w:rPr>
                <w:rFonts w:ascii="Cambria" w:hAnsi="Cambria"/>
                <w:sz w:val="22"/>
                <w:szCs w:val="22"/>
              </w:rPr>
              <w:t>5 to 7 directors appointed by Shareholders’ meeting – effectively majority of reps of Ministries</w:t>
            </w:r>
          </w:p>
          <w:p w14:paraId="4F7BADA5" w14:textId="77777777" w:rsidR="00FF73F4" w:rsidRPr="00594D4E" w:rsidRDefault="00FF73F4" w:rsidP="00FF73F4">
            <w:pPr>
              <w:jc w:val="center"/>
              <w:rPr>
                <w:rFonts w:ascii="Cambria" w:hAnsi="Cambria"/>
                <w:sz w:val="22"/>
                <w:szCs w:val="22"/>
              </w:rPr>
            </w:pPr>
            <w:r w:rsidRPr="00594D4E">
              <w:rPr>
                <w:rFonts w:ascii="Cambria" w:hAnsi="Cambria"/>
                <w:sz w:val="22"/>
                <w:szCs w:val="22"/>
              </w:rPr>
              <w:t>(State Treasury owns 99.39% stake; BGK: 0.61%)</w:t>
            </w:r>
          </w:p>
        </w:tc>
      </w:tr>
      <w:tr w:rsidR="00FF73F4" w:rsidRPr="00594D4E" w14:paraId="513B2D81" w14:textId="77777777" w:rsidTr="00594D4E">
        <w:tc>
          <w:tcPr>
            <w:tcW w:w="1098" w:type="dxa"/>
          </w:tcPr>
          <w:p w14:paraId="55126ADB" w14:textId="77777777" w:rsidR="00FF73F4" w:rsidRPr="00594D4E" w:rsidRDefault="00FF73F4" w:rsidP="00FF73F4">
            <w:pPr>
              <w:rPr>
                <w:rFonts w:ascii="Cambria" w:hAnsi="Cambria"/>
                <w:sz w:val="22"/>
                <w:szCs w:val="22"/>
              </w:rPr>
            </w:pPr>
            <w:r w:rsidRPr="00594D4E">
              <w:rPr>
                <w:rFonts w:ascii="Cambria" w:hAnsi="Cambria"/>
                <w:sz w:val="22"/>
                <w:szCs w:val="22"/>
              </w:rPr>
              <w:t>Czechia</w:t>
            </w:r>
          </w:p>
        </w:tc>
        <w:tc>
          <w:tcPr>
            <w:tcW w:w="1260" w:type="dxa"/>
          </w:tcPr>
          <w:p w14:paraId="3E9A23BB" w14:textId="77777777" w:rsidR="00FF73F4" w:rsidRPr="00594D4E" w:rsidRDefault="00FF73F4" w:rsidP="00FF73F4">
            <w:pPr>
              <w:rPr>
                <w:rFonts w:ascii="Cambria" w:hAnsi="Cambria"/>
                <w:sz w:val="22"/>
                <w:szCs w:val="22"/>
              </w:rPr>
            </w:pPr>
            <w:r w:rsidRPr="00594D4E">
              <w:rPr>
                <w:rFonts w:ascii="Cambria" w:hAnsi="Cambria"/>
                <w:sz w:val="22"/>
                <w:szCs w:val="22"/>
              </w:rPr>
              <w:t>ČMZRB</w:t>
            </w:r>
          </w:p>
        </w:tc>
        <w:tc>
          <w:tcPr>
            <w:tcW w:w="990" w:type="dxa"/>
          </w:tcPr>
          <w:p w14:paraId="3A59A469" w14:textId="77777777" w:rsidR="00FF73F4" w:rsidRPr="00594D4E" w:rsidRDefault="00FF73F4" w:rsidP="00FF73F4">
            <w:pPr>
              <w:jc w:val="center"/>
              <w:rPr>
                <w:rFonts w:ascii="Cambria" w:hAnsi="Cambria"/>
                <w:sz w:val="22"/>
                <w:szCs w:val="22"/>
              </w:rPr>
            </w:pPr>
            <w:r w:rsidRPr="00594D4E">
              <w:rPr>
                <w:rFonts w:ascii="Cambria" w:hAnsi="Cambria"/>
                <w:sz w:val="22"/>
                <w:szCs w:val="22"/>
              </w:rPr>
              <w:t>1992</w:t>
            </w:r>
          </w:p>
        </w:tc>
        <w:tc>
          <w:tcPr>
            <w:tcW w:w="1836" w:type="dxa"/>
          </w:tcPr>
          <w:p w14:paraId="1C052411" w14:textId="77777777" w:rsidR="00FF73F4" w:rsidRPr="00594D4E" w:rsidRDefault="00FF73F4" w:rsidP="00FF73F4">
            <w:pPr>
              <w:jc w:val="center"/>
              <w:rPr>
                <w:rFonts w:ascii="Cambria" w:hAnsi="Cambria"/>
                <w:sz w:val="22"/>
                <w:szCs w:val="22"/>
              </w:rPr>
            </w:pPr>
            <w:r w:rsidRPr="00594D4E">
              <w:rPr>
                <w:rFonts w:ascii="Cambria" w:hAnsi="Cambria"/>
                <w:sz w:val="22"/>
                <w:szCs w:val="22"/>
              </w:rPr>
              <w:t>6 directors nominated by different Ministers (Finance; Industry and Trade; Regional Development)</w:t>
            </w:r>
          </w:p>
        </w:tc>
        <w:tc>
          <w:tcPr>
            <w:tcW w:w="1836" w:type="dxa"/>
          </w:tcPr>
          <w:p w14:paraId="0C456470" w14:textId="77777777" w:rsidR="00FF73F4" w:rsidRPr="00594D4E" w:rsidRDefault="00FF73F4" w:rsidP="00FF73F4">
            <w:pPr>
              <w:jc w:val="center"/>
              <w:rPr>
                <w:rFonts w:ascii="Cambria" w:hAnsi="Cambria"/>
                <w:sz w:val="22"/>
                <w:szCs w:val="22"/>
              </w:rPr>
            </w:pPr>
          </w:p>
        </w:tc>
        <w:tc>
          <w:tcPr>
            <w:tcW w:w="1836" w:type="dxa"/>
          </w:tcPr>
          <w:p w14:paraId="5D2AE25F" w14:textId="77777777" w:rsidR="00FF73F4" w:rsidRPr="00594D4E" w:rsidRDefault="00FF73F4" w:rsidP="00FF73F4">
            <w:pPr>
              <w:jc w:val="center"/>
              <w:rPr>
                <w:rFonts w:ascii="Cambria" w:hAnsi="Cambria"/>
                <w:sz w:val="22"/>
                <w:szCs w:val="22"/>
              </w:rPr>
            </w:pPr>
          </w:p>
        </w:tc>
      </w:tr>
      <w:tr w:rsidR="00FF73F4" w:rsidRPr="00594D4E" w14:paraId="3A633FB6" w14:textId="77777777" w:rsidTr="00594D4E">
        <w:tc>
          <w:tcPr>
            <w:tcW w:w="1098" w:type="dxa"/>
          </w:tcPr>
          <w:p w14:paraId="664D8348" w14:textId="77777777" w:rsidR="00FF73F4" w:rsidRPr="00594D4E" w:rsidRDefault="00FF73F4" w:rsidP="00FF73F4">
            <w:pPr>
              <w:rPr>
                <w:rFonts w:ascii="Cambria" w:hAnsi="Cambria"/>
                <w:sz w:val="22"/>
                <w:szCs w:val="22"/>
              </w:rPr>
            </w:pPr>
            <w:r w:rsidRPr="00594D4E">
              <w:rPr>
                <w:rFonts w:ascii="Cambria" w:hAnsi="Cambria"/>
                <w:sz w:val="22"/>
                <w:szCs w:val="22"/>
              </w:rPr>
              <w:t>Slovakia</w:t>
            </w:r>
          </w:p>
        </w:tc>
        <w:tc>
          <w:tcPr>
            <w:tcW w:w="1260" w:type="dxa"/>
          </w:tcPr>
          <w:p w14:paraId="46B23DB1" w14:textId="77777777" w:rsidR="00FF73F4" w:rsidRPr="00594D4E" w:rsidRDefault="00FF73F4" w:rsidP="00FF73F4">
            <w:pPr>
              <w:rPr>
                <w:rFonts w:ascii="Cambria" w:hAnsi="Cambria"/>
                <w:sz w:val="22"/>
                <w:szCs w:val="22"/>
              </w:rPr>
            </w:pPr>
            <w:r w:rsidRPr="00594D4E">
              <w:rPr>
                <w:rFonts w:ascii="Cambria" w:hAnsi="Cambria"/>
                <w:sz w:val="22"/>
                <w:szCs w:val="22"/>
              </w:rPr>
              <w:t>SZRB</w:t>
            </w:r>
          </w:p>
        </w:tc>
        <w:tc>
          <w:tcPr>
            <w:tcW w:w="990" w:type="dxa"/>
          </w:tcPr>
          <w:p w14:paraId="3EF595A7" w14:textId="77777777" w:rsidR="00FF73F4" w:rsidRPr="00594D4E" w:rsidRDefault="00FF73F4" w:rsidP="00FF73F4">
            <w:pPr>
              <w:jc w:val="center"/>
              <w:rPr>
                <w:rFonts w:ascii="Cambria" w:hAnsi="Cambria"/>
                <w:sz w:val="22"/>
                <w:szCs w:val="22"/>
              </w:rPr>
            </w:pPr>
            <w:r w:rsidRPr="00594D4E">
              <w:rPr>
                <w:rFonts w:ascii="Cambria" w:hAnsi="Cambria"/>
                <w:sz w:val="22"/>
                <w:szCs w:val="22"/>
              </w:rPr>
              <w:t>1991</w:t>
            </w:r>
          </w:p>
        </w:tc>
        <w:tc>
          <w:tcPr>
            <w:tcW w:w="1836" w:type="dxa"/>
          </w:tcPr>
          <w:p w14:paraId="6E7B0626" w14:textId="77777777" w:rsidR="00FF73F4" w:rsidRPr="00594D4E" w:rsidRDefault="00FF73F4" w:rsidP="00FF73F4">
            <w:pPr>
              <w:jc w:val="center"/>
              <w:rPr>
                <w:rFonts w:ascii="Cambria" w:hAnsi="Cambria"/>
                <w:sz w:val="22"/>
                <w:szCs w:val="22"/>
              </w:rPr>
            </w:pPr>
            <w:r w:rsidRPr="00594D4E">
              <w:rPr>
                <w:rFonts w:ascii="Cambria" w:hAnsi="Cambria"/>
                <w:sz w:val="22"/>
                <w:szCs w:val="22"/>
              </w:rPr>
              <w:t>6 directors chosen by the Minister of Finance</w:t>
            </w:r>
          </w:p>
        </w:tc>
        <w:tc>
          <w:tcPr>
            <w:tcW w:w="1836" w:type="dxa"/>
          </w:tcPr>
          <w:p w14:paraId="00A7E1E2" w14:textId="77777777" w:rsidR="00FF73F4" w:rsidRPr="00594D4E" w:rsidRDefault="00FF73F4" w:rsidP="00FF73F4">
            <w:pPr>
              <w:jc w:val="center"/>
              <w:rPr>
                <w:rFonts w:ascii="Cambria" w:hAnsi="Cambria"/>
                <w:sz w:val="22"/>
                <w:szCs w:val="22"/>
              </w:rPr>
            </w:pPr>
          </w:p>
        </w:tc>
        <w:tc>
          <w:tcPr>
            <w:tcW w:w="1836" w:type="dxa"/>
          </w:tcPr>
          <w:p w14:paraId="43915B2A" w14:textId="77777777" w:rsidR="00FF73F4" w:rsidRPr="00594D4E" w:rsidRDefault="00FF73F4" w:rsidP="00FF73F4">
            <w:pPr>
              <w:jc w:val="center"/>
              <w:rPr>
                <w:rFonts w:ascii="Cambria" w:hAnsi="Cambria"/>
                <w:sz w:val="22"/>
                <w:szCs w:val="22"/>
              </w:rPr>
            </w:pPr>
            <w:r w:rsidRPr="00594D4E">
              <w:rPr>
                <w:rFonts w:ascii="Cambria" w:hAnsi="Cambria"/>
                <w:sz w:val="22"/>
                <w:szCs w:val="22"/>
              </w:rPr>
              <w:t>3 directors elected by SZRB employees</w:t>
            </w:r>
          </w:p>
        </w:tc>
      </w:tr>
      <w:tr w:rsidR="00FF73F4" w:rsidRPr="00594D4E" w14:paraId="3ED21F10" w14:textId="77777777" w:rsidTr="00594D4E">
        <w:tc>
          <w:tcPr>
            <w:tcW w:w="1098" w:type="dxa"/>
          </w:tcPr>
          <w:p w14:paraId="0C900C2D" w14:textId="77777777" w:rsidR="00FF73F4" w:rsidRPr="00594D4E" w:rsidRDefault="00FF73F4" w:rsidP="00FF73F4">
            <w:pPr>
              <w:rPr>
                <w:rFonts w:ascii="Cambria" w:hAnsi="Cambria"/>
                <w:sz w:val="22"/>
                <w:szCs w:val="22"/>
              </w:rPr>
            </w:pPr>
            <w:r w:rsidRPr="00594D4E">
              <w:rPr>
                <w:rFonts w:ascii="Cambria" w:hAnsi="Cambria"/>
                <w:sz w:val="22"/>
                <w:szCs w:val="22"/>
              </w:rPr>
              <w:t>Hungary</w:t>
            </w:r>
          </w:p>
        </w:tc>
        <w:tc>
          <w:tcPr>
            <w:tcW w:w="1260" w:type="dxa"/>
          </w:tcPr>
          <w:p w14:paraId="0D2FD2C6" w14:textId="77777777" w:rsidR="00FF73F4" w:rsidRPr="00594D4E" w:rsidRDefault="00FF73F4" w:rsidP="00FF73F4">
            <w:pPr>
              <w:rPr>
                <w:rFonts w:ascii="Cambria" w:hAnsi="Cambria"/>
                <w:sz w:val="22"/>
                <w:szCs w:val="22"/>
              </w:rPr>
            </w:pPr>
            <w:r w:rsidRPr="00594D4E">
              <w:rPr>
                <w:rFonts w:ascii="Cambria" w:hAnsi="Cambria"/>
                <w:sz w:val="22"/>
                <w:szCs w:val="22"/>
              </w:rPr>
              <w:t>MFB</w:t>
            </w:r>
          </w:p>
        </w:tc>
        <w:tc>
          <w:tcPr>
            <w:tcW w:w="990" w:type="dxa"/>
          </w:tcPr>
          <w:p w14:paraId="7EB5A0C9" w14:textId="77777777" w:rsidR="00FF73F4" w:rsidRPr="00594D4E" w:rsidRDefault="00FF73F4" w:rsidP="00FF73F4">
            <w:pPr>
              <w:jc w:val="center"/>
              <w:rPr>
                <w:rFonts w:ascii="Cambria" w:hAnsi="Cambria"/>
                <w:sz w:val="22"/>
                <w:szCs w:val="22"/>
              </w:rPr>
            </w:pPr>
            <w:r w:rsidRPr="00594D4E">
              <w:rPr>
                <w:rFonts w:ascii="Cambria" w:hAnsi="Cambria"/>
                <w:sz w:val="22"/>
                <w:szCs w:val="22"/>
              </w:rPr>
              <w:t>1993</w:t>
            </w:r>
          </w:p>
        </w:tc>
        <w:tc>
          <w:tcPr>
            <w:tcW w:w="1836" w:type="dxa"/>
          </w:tcPr>
          <w:p w14:paraId="18E63B54" w14:textId="77777777" w:rsidR="00FF73F4" w:rsidRPr="00594D4E" w:rsidRDefault="00FF73F4" w:rsidP="00FF73F4">
            <w:pPr>
              <w:jc w:val="center"/>
              <w:rPr>
                <w:rFonts w:ascii="Cambria" w:hAnsi="Cambria"/>
                <w:sz w:val="22"/>
                <w:szCs w:val="22"/>
              </w:rPr>
            </w:pPr>
            <w:r w:rsidRPr="00594D4E">
              <w:rPr>
                <w:rFonts w:ascii="Cambria" w:hAnsi="Cambria"/>
                <w:sz w:val="22"/>
                <w:szCs w:val="22"/>
              </w:rPr>
              <w:t>2/3 directors nominated by Minister in charge of national assets</w:t>
            </w:r>
          </w:p>
        </w:tc>
        <w:tc>
          <w:tcPr>
            <w:tcW w:w="1836" w:type="dxa"/>
          </w:tcPr>
          <w:p w14:paraId="537EC62E" w14:textId="77777777" w:rsidR="00FF73F4" w:rsidRPr="00594D4E" w:rsidRDefault="00FF73F4" w:rsidP="00FF73F4">
            <w:pPr>
              <w:jc w:val="center"/>
              <w:rPr>
                <w:rFonts w:ascii="Cambria" w:hAnsi="Cambria"/>
                <w:sz w:val="22"/>
                <w:szCs w:val="22"/>
              </w:rPr>
            </w:pPr>
          </w:p>
        </w:tc>
        <w:tc>
          <w:tcPr>
            <w:tcW w:w="1836" w:type="dxa"/>
          </w:tcPr>
          <w:p w14:paraId="4185A32F" w14:textId="77777777" w:rsidR="00FF73F4" w:rsidRPr="00594D4E" w:rsidRDefault="00FF73F4" w:rsidP="00FF73F4">
            <w:pPr>
              <w:jc w:val="center"/>
              <w:rPr>
                <w:rFonts w:ascii="Cambria" w:hAnsi="Cambria"/>
                <w:sz w:val="22"/>
                <w:szCs w:val="22"/>
              </w:rPr>
            </w:pPr>
            <w:r w:rsidRPr="00594D4E">
              <w:rPr>
                <w:rFonts w:ascii="Cambria" w:hAnsi="Cambria"/>
                <w:sz w:val="22"/>
                <w:szCs w:val="22"/>
              </w:rPr>
              <w:t>1/3 directors elected by MFB employees</w:t>
            </w:r>
          </w:p>
        </w:tc>
      </w:tr>
      <w:tr w:rsidR="00FF73F4" w:rsidRPr="00594D4E" w14:paraId="175C0C60" w14:textId="77777777" w:rsidTr="00594D4E">
        <w:tc>
          <w:tcPr>
            <w:tcW w:w="1098" w:type="dxa"/>
          </w:tcPr>
          <w:p w14:paraId="1DFE6C40" w14:textId="77777777" w:rsidR="00FF73F4" w:rsidRPr="00594D4E" w:rsidRDefault="00FF73F4" w:rsidP="00FF73F4">
            <w:pPr>
              <w:rPr>
                <w:rFonts w:ascii="Cambria" w:hAnsi="Cambria"/>
                <w:sz w:val="22"/>
                <w:szCs w:val="22"/>
              </w:rPr>
            </w:pPr>
            <w:r w:rsidRPr="00594D4E">
              <w:rPr>
                <w:rFonts w:ascii="Cambria" w:hAnsi="Cambria"/>
                <w:sz w:val="22"/>
                <w:szCs w:val="22"/>
              </w:rPr>
              <w:t>United Kingdom</w:t>
            </w:r>
          </w:p>
        </w:tc>
        <w:tc>
          <w:tcPr>
            <w:tcW w:w="1260" w:type="dxa"/>
          </w:tcPr>
          <w:p w14:paraId="448B9902" w14:textId="77777777" w:rsidR="00FF73F4" w:rsidRPr="00594D4E" w:rsidRDefault="00FF73F4" w:rsidP="00FF73F4">
            <w:pPr>
              <w:rPr>
                <w:rFonts w:ascii="Cambria" w:hAnsi="Cambria"/>
                <w:sz w:val="22"/>
                <w:szCs w:val="22"/>
              </w:rPr>
            </w:pPr>
            <w:r w:rsidRPr="00594D4E">
              <w:rPr>
                <w:rFonts w:ascii="Cambria" w:hAnsi="Cambria"/>
                <w:sz w:val="22"/>
                <w:szCs w:val="22"/>
              </w:rPr>
              <w:t>British Business Bank</w:t>
            </w:r>
          </w:p>
        </w:tc>
        <w:tc>
          <w:tcPr>
            <w:tcW w:w="990" w:type="dxa"/>
          </w:tcPr>
          <w:p w14:paraId="3A79BFB0" w14:textId="77777777" w:rsidR="00FF73F4" w:rsidRPr="00594D4E" w:rsidRDefault="00FF73F4" w:rsidP="00FF73F4">
            <w:pPr>
              <w:jc w:val="center"/>
              <w:rPr>
                <w:rFonts w:ascii="Cambria" w:hAnsi="Cambria"/>
                <w:sz w:val="22"/>
                <w:szCs w:val="22"/>
              </w:rPr>
            </w:pPr>
            <w:r w:rsidRPr="00594D4E">
              <w:rPr>
                <w:rFonts w:ascii="Cambria" w:hAnsi="Cambria"/>
                <w:sz w:val="22"/>
                <w:szCs w:val="22"/>
              </w:rPr>
              <w:t>2014</w:t>
            </w:r>
          </w:p>
        </w:tc>
        <w:tc>
          <w:tcPr>
            <w:tcW w:w="1836" w:type="dxa"/>
          </w:tcPr>
          <w:p w14:paraId="6BBB943B" w14:textId="77777777" w:rsidR="00FF73F4" w:rsidRPr="00594D4E" w:rsidRDefault="00FF73F4" w:rsidP="00FF73F4">
            <w:pPr>
              <w:jc w:val="center"/>
              <w:rPr>
                <w:rFonts w:ascii="Cambria" w:hAnsi="Cambria"/>
                <w:sz w:val="22"/>
                <w:szCs w:val="22"/>
              </w:rPr>
            </w:pPr>
          </w:p>
        </w:tc>
        <w:tc>
          <w:tcPr>
            <w:tcW w:w="1836" w:type="dxa"/>
          </w:tcPr>
          <w:p w14:paraId="16329EB6" w14:textId="77777777" w:rsidR="00FF73F4" w:rsidRPr="00594D4E" w:rsidRDefault="00FF73F4" w:rsidP="00FF73F4">
            <w:pPr>
              <w:jc w:val="center"/>
              <w:rPr>
                <w:rFonts w:ascii="Cambria" w:hAnsi="Cambria"/>
                <w:sz w:val="22"/>
                <w:szCs w:val="22"/>
              </w:rPr>
            </w:pPr>
            <w:r w:rsidRPr="00594D4E">
              <w:rPr>
                <w:rFonts w:ascii="Cambria" w:hAnsi="Cambria"/>
                <w:sz w:val="22"/>
                <w:szCs w:val="22"/>
              </w:rPr>
              <w:t>At least 6 independent directors (out of at least eight members) who are to make up the majority of the Board (of minimum 8 directors)</w:t>
            </w:r>
          </w:p>
        </w:tc>
        <w:tc>
          <w:tcPr>
            <w:tcW w:w="1836" w:type="dxa"/>
          </w:tcPr>
          <w:p w14:paraId="2EFF6896" w14:textId="77777777" w:rsidR="00FF73F4" w:rsidRPr="00594D4E" w:rsidRDefault="00FF73F4" w:rsidP="00FF73F4">
            <w:pPr>
              <w:jc w:val="center"/>
              <w:rPr>
                <w:rFonts w:ascii="Cambria" w:hAnsi="Cambria"/>
                <w:sz w:val="22"/>
                <w:szCs w:val="22"/>
              </w:rPr>
            </w:pPr>
          </w:p>
        </w:tc>
      </w:tr>
      <w:tr w:rsidR="00FF73F4" w:rsidRPr="00594D4E" w14:paraId="04B4BAA2" w14:textId="77777777" w:rsidTr="00594D4E">
        <w:tc>
          <w:tcPr>
            <w:tcW w:w="1098" w:type="dxa"/>
          </w:tcPr>
          <w:p w14:paraId="41537619" w14:textId="77777777" w:rsidR="00FF73F4" w:rsidRPr="00594D4E" w:rsidRDefault="00FF73F4" w:rsidP="00FF73F4">
            <w:pPr>
              <w:rPr>
                <w:rFonts w:ascii="Cambria" w:hAnsi="Cambria"/>
                <w:sz w:val="22"/>
                <w:szCs w:val="22"/>
              </w:rPr>
            </w:pPr>
            <w:r w:rsidRPr="00594D4E">
              <w:rPr>
                <w:rFonts w:ascii="Cambria" w:hAnsi="Cambria"/>
                <w:sz w:val="22"/>
                <w:szCs w:val="22"/>
              </w:rPr>
              <w:t>Spain</w:t>
            </w:r>
          </w:p>
        </w:tc>
        <w:tc>
          <w:tcPr>
            <w:tcW w:w="1260" w:type="dxa"/>
          </w:tcPr>
          <w:p w14:paraId="39E671E7" w14:textId="77777777" w:rsidR="00FF73F4" w:rsidRPr="00594D4E" w:rsidRDefault="00FF73F4" w:rsidP="00FF73F4">
            <w:pPr>
              <w:rPr>
                <w:rFonts w:ascii="Cambria" w:hAnsi="Cambria"/>
                <w:sz w:val="22"/>
                <w:szCs w:val="22"/>
              </w:rPr>
            </w:pPr>
            <w:r w:rsidRPr="00594D4E">
              <w:rPr>
                <w:rFonts w:ascii="Cambria" w:hAnsi="Cambria"/>
                <w:sz w:val="22"/>
                <w:szCs w:val="22"/>
              </w:rPr>
              <w:t>ICO</w:t>
            </w:r>
          </w:p>
        </w:tc>
        <w:tc>
          <w:tcPr>
            <w:tcW w:w="990" w:type="dxa"/>
          </w:tcPr>
          <w:p w14:paraId="58AC7612" w14:textId="77777777" w:rsidR="00FF73F4" w:rsidRPr="00594D4E" w:rsidRDefault="00FF73F4" w:rsidP="00FF73F4">
            <w:pPr>
              <w:jc w:val="center"/>
              <w:rPr>
                <w:rFonts w:ascii="Cambria" w:hAnsi="Cambria"/>
                <w:sz w:val="22"/>
                <w:szCs w:val="22"/>
              </w:rPr>
            </w:pPr>
            <w:r w:rsidRPr="00594D4E">
              <w:rPr>
                <w:rFonts w:ascii="Cambria" w:hAnsi="Cambria"/>
                <w:sz w:val="22"/>
                <w:szCs w:val="22"/>
              </w:rPr>
              <w:t>1971</w:t>
            </w:r>
          </w:p>
        </w:tc>
        <w:tc>
          <w:tcPr>
            <w:tcW w:w="1836" w:type="dxa"/>
          </w:tcPr>
          <w:p w14:paraId="6B3A717E" w14:textId="77777777" w:rsidR="00FF73F4" w:rsidRPr="00594D4E" w:rsidRDefault="00FF73F4" w:rsidP="00FF73F4">
            <w:pPr>
              <w:jc w:val="center"/>
              <w:rPr>
                <w:rFonts w:ascii="Cambria" w:hAnsi="Cambria"/>
                <w:sz w:val="22"/>
                <w:szCs w:val="22"/>
              </w:rPr>
            </w:pPr>
            <w:r w:rsidRPr="00594D4E">
              <w:rPr>
                <w:rFonts w:ascii="Cambria" w:hAnsi="Cambria"/>
                <w:sz w:val="22"/>
                <w:szCs w:val="22"/>
              </w:rPr>
              <w:t>6 directors appointed by Minister of the Economy and Business among civil servants</w:t>
            </w:r>
          </w:p>
        </w:tc>
        <w:tc>
          <w:tcPr>
            <w:tcW w:w="1836" w:type="dxa"/>
          </w:tcPr>
          <w:p w14:paraId="3C20F0A0" w14:textId="77777777" w:rsidR="00FF73F4" w:rsidRPr="00594D4E" w:rsidRDefault="00FF73F4" w:rsidP="00FF73F4">
            <w:pPr>
              <w:jc w:val="center"/>
              <w:rPr>
                <w:rFonts w:ascii="Cambria" w:hAnsi="Cambria"/>
                <w:sz w:val="22"/>
                <w:szCs w:val="22"/>
              </w:rPr>
            </w:pPr>
          </w:p>
        </w:tc>
        <w:tc>
          <w:tcPr>
            <w:tcW w:w="1836" w:type="dxa"/>
          </w:tcPr>
          <w:p w14:paraId="56BBFBB9" w14:textId="77777777" w:rsidR="00FF73F4" w:rsidRPr="00594D4E" w:rsidRDefault="00FF73F4" w:rsidP="00FF73F4">
            <w:pPr>
              <w:jc w:val="center"/>
              <w:rPr>
                <w:rFonts w:ascii="Cambria" w:hAnsi="Cambria"/>
                <w:sz w:val="22"/>
                <w:szCs w:val="22"/>
              </w:rPr>
            </w:pPr>
            <w:r w:rsidRPr="00594D4E">
              <w:rPr>
                <w:rFonts w:ascii="Cambria" w:hAnsi="Cambria"/>
                <w:sz w:val="22"/>
                <w:szCs w:val="22"/>
              </w:rPr>
              <w:t>4 independent directors (who are not civil servants) appointed by the Minister of the Economy and Business</w:t>
            </w:r>
          </w:p>
        </w:tc>
      </w:tr>
      <w:tr w:rsidR="00FF73F4" w:rsidRPr="00594D4E" w14:paraId="67D08A60" w14:textId="77777777" w:rsidTr="00594D4E">
        <w:tc>
          <w:tcPr>
            <w:tcW w:w="1098" w:type="dxa"/>
            <w:vMerge w:val="restart"/>
          </w:tcPr>
          <w:p w14:paraId="246884D6" w14:textId="77777777" w:rsidR="00FF73F4" w:rsidRPr="00594D4E" w:rsidRDefault="00FF73F4" w:rsidP="00FF73F4">
            <w:pPr>
              <w:rPr>
                <w:rFonts w:ascii="Cambria" w:hAnsi="Cambria"/>
                <w:sz w:val="22"/>
                <w:szCs w:val="22"/>
              </w:rPr>
            </w:pPr>
            <w:r w:rsidRPr="00594D4E">
              <w:rPr>
                <w:rFonts w:ascii="Cambria" w:hAnsi="Cambria"/>
                <w:sz w:val="22"/>
                <w:szCs w:val="22"/>
              </w:rPr>
              <w:t>Italy</w:t>
            </w:r>
          </w:p>
        </w:tc>
        <w:tc>
          <w:tcPr>
            <w:tcW w:w="1260" w:type="dxa"/>
            <w:vMerge w:val="restart"/>
          </w:tcPr>
          <w:p w14:paraId="58BCD11E" w14:textId="77777777" w:rsidR="00FF73F4" w:rsidRPr="00594D4E" w:rsidRDefault="00FF73F4" w:rsidP="00FF73F4">
            <w:pPr>
              <w:rPr>
                <w:rFonts w:ascii="Cambria" w:hAnsi="Cambria"/>
                <w:sz w:val="22"/>
                <w:szCs w:val="22"/>
              </w:rPr>
            </w:pPr>
            <w:r w:rsidRPr="00594D4E">
              <w:rPr>
                <w:rFonts w:ascii="Cambria" w:hAnsi="Cambria"/>
                <w:sz w:val="22"/>
                <w:szCs w:val="22"/>
              </w:rPr>
              <w:t>CDP</w:t>
            </w:r>
          </w:p>
        </w:tc>
        <w:tc>
          <w:tcPr>
            <w:tcW w:w="990" w:type="dxa"/>
            <w:vMerge w:val="restart"/>
          </w:tcPr>
          <w:p w14:paraId="5EAF61C2" w14:textId="77777777" w:rsidR="00FF73F4" w:rsidRPr="00594D4E" w:rsidRDefault="00FF73F4" w:rsidP="00FF73F4">
            <w:pPr>
              <w:jc w:val="center"/>
              <w:rPr>
                <w:rFonts w:ascii="Cambria" w:hAnsi="Cambria"/>
                <w:sz w:val="22"/>
                <w:szCs w:val="22"/>
              </w:rPr>
            </w:pPr>
            <w:r w:rsidRPr="00594D4E">
              <w:rPr>
                <w:rFonts w:ascii="Cambria" w:hAnsi="Cambria"/>
                <w:sz w:val="22"/>
                <w:szCs w:val="22"/>
              </w:rPr>
              <w:t>1850</w:t>
            </w:r>
          </w:p>
        </w:tc>
        <w:tc>
          <w:tcPr>
            <w:tcW w:w="5508" w:type="dxa"/>
            <w:gridSpan w:val="3"/>
          </w:tcPr>
          <w:p w14:paraId="094644F8" w14:textId="77777777" w:rsidR="00FF73F4" w:rsidRPr="00594D4E" w:rsidRDefault="00FF73F4" w:rsidP="00FF73F4">
            <w:pPr>
              <w:jc w:val="center"/>
              <w:rPr>
                <w:rFonts w:ascii="Cambria" w:hAnsi="Cambria"/>
                <w:sz w:val="22"/>
                <w:szCs w:val="22"/>
              </w:rPr>
            </w:pPr>
            <w:r w:rsidRPr="00594D4E">
              <w:rPr>
                <w:rFonts w:ascii="Cambria" w:hAnsi="Cambria"/>
                <w:sz w:val="22"/>
                <w:szCs w:val="22"/>
              </w:rPr>
              <w:t>9 directors appointed by Shareholders’ meeting (Min. of Economy and Finance owns 82.77% equity stake; Bank Foundations: 15.93%; Treasury: 1.30%)</w:t>
            </w:r>
          </w:p>
        </w:tc>
      </w:tr>
      <w:tr w:rsidR="00FF73F4" w:rsidRPr="00594D4E" w14:paraId="401D1382" w14:textId="77777777" w:rsidTr="00594D4E">
        <w:tc>
          <w:tcPr>
            <w:tcW w:w="1098" w:type="dxa"/>
            <w:vMerge/>
          </w:tcPr>
          <w:p w14:paraId="46596C20" w14:textId="77777777" w:rsidR="00FF73F4" w:rsidRPr="00594D4E" w:rsidRDefault="00FF73F4" w:rsidP="00FF73F4">
            <w:pPr>
              <w:rPr>
                <w:rFonts w:ascii="Cambria" w:hAnsi="Cambria"/>
                <w:sz w:val="22"/>
                <w:szCs w:val="22"/>
              </w:rPr>
            </w:pPr>
          </w:p>
        </w:tc>
        <w:tc>
          <w:tcPr>
            <w:tcW w:w="1260" w:type="dxa"/>
            <w:vMerge/>
          </w:tcPr>
          <w:p w14:paraId="6F95ED00" w14:textId="77777777" w:rsidR="00FF73F4" w:rsidRPr="00594D4E" w:rsidRDefault="00FF73F4" w:rsidP="00FF73F4">
            <w:pPr>
              <w:rPr>
                <w:rFonts w:ascii="Cambria" w:hAnsi="Cambria"/>
                <w:sz w:val="22"/>
                <w:szCs w:val="22"/>
              </w:rPr>
            </w:pPr>
          </w:p>
        </w:tc>
        <w:tc>
          <w:tcPr>
            <w:tcW w:w="990" w:type="dxa"/>
            <w:vMerge/>
          </w:tcPr>
          <w:p w14:paraId="65B20FFC" w14:textId="77777777" w:rsidR="00FF73F4" w:rsidRPr="00594D4E" w:rsidRDefault="00FF73F4" w:rsidP="00FF73F4">
            <w:pPr>
              <w:jc w:val="center"/>
              <w:rPr>
                <w:rFonts w:ascii="Cambria" w:hAnsi="Cambria"/>
                <w:sz w:val="22"/>
                <w:szCs w:val="22"/>
              </w:rPr>
            </w:pPr>
          </w:p>
        </w:tc>
        <w:tc>
          <w:tcPr>
            <w:tcW w:w="1836" w:type="dxa"/>
          </w:tcPr>
          <w:p w14:paraId="7B1C2177" w14:textId="77777777" w:rsidR="00FF73F4" w:rsidRPr="00594D4E" w:rsidRDefault="00FF73F4" w:rsidP="00FF73F4">
            <w:pPr>
              <w:jc w:val="center"/>
              <w:rPr>
                <w:rFonts w:ascii="Cambria" w:hAnsi="Cambria"/>
                <w:sz w:val="22"/>
                <w:szCs w:val="22"/>
              </w:rPr>
            </w:pPr>
            <w:r w:rsidRPr="00594D4E">
              <w:rPr>
                <w:rFonts w:ascii="Cambria" w:hAnsi="Cambria"/>
                <w:sz w:val="22"/>
                <w:szCs w:val="22"/>
              </w:rPr>
              <w:t xml:space="preserve">In addition, for management of postal savings: </w:t>
            </w:r>
            <w:r w:rsidRPr="00594D4E">
              <w:rPr>
                <w:rFonts w:ascii="Cambria" w:eastAsia="Times New Roman" w:hAnsi="Cambria" w:cs="Arial"/>
                <w:sz w:val="22"/>
                <w:szCs w:val="22"/>
                <w:shd w:val="clear" w:color="auto" w:fill="FFFFFF"/>
              </w:rPr>
              <w:t>Director-General of the Treasury and Accountant General of the State</w:t>
            </w:r>
          </w:p>
        </w:tc>
        <w:tc>
          <w:tcPr>
            <w:tcW w:w="1836" w:type="dxa"/>
          </w:tcPr>
          <w:p w14:paraId="013CDA28" w14:textId="77777777" w:rsidR="00FF73F4" w:rsidRPr="00594D4E" w:rsidRDefault="00FF73F4" w:rsidP="00FF73F4">
            <w:pPr>
              <w:jc w:val="center"/>
              <w:rPr>
                <w:rFonts w:ascii="Cambria" w:hAnsi="Cambria"/>
                <w:sz w:val="22"/>
                <w:szCs w:val="22"/>
              </w:rPr>
            </w:pPr>
          </w:p>
        </w:tc>
        <w:tc>
          <w:tcPr>
            <w:tcW w:w="1836" w:type="dxa"/>
          </w:tcPr>
          <w:p w14:paraId="1689D0D4" w14:textId="77777777" w:rsidR="00FF73F4" w:rsidRPr="00594D4E" w:rsidRDefault="00FF73F4" w:rsidP="00FF73F4">
            <w:pPr>
              <w:jc w:val="center"/>
              <w:rPr>
                <w:rFonts w:ascii="Cambria" w:hAnsi="Cambria"/>
                <w:sz w:val="22"/>
                <w:szCs w:val="22"/>
              </w:rPr>
            </w:pPr>
            <w:r w:rsidRPr="00594D4E">
              <w:rPr>
                <w:rFonts w:ascii="Cambria" w:hAnsi="Cambria"/>
                <w:sz w:val="22"/>
                <w:szCs w:val="22"/>
              </w:rPr>
              <w:t>In addition, for management of postal savings: 3 directors appointed by regions, provinces and municipalities</w:t>
            </w:r>
          </w:p>
        </w:tc>
      </w:tr>
      <w:tr w:rsidR="00FF73F4" w:rsidRPr="00594D4E" w14:paraId="1BB53463" w14:textId="77777777" w:rsidTr="00594D4E">
        <w:tc>
          <w:tcPr>
            <w:tcW w:w="1098" w:type="dxa"/>
            <w:vMerge w:val="restart"/>
          </w:tcPr>
          <w:p w14:paraId="368233F0" w14:textId="77777777" w:rsidR="00FF73F4" w:rsidRPr="00594D4E" w:rsidRDefault="00FF73F4" w:rsidP="00FF73F4">
            <w:pPr>
              <w:rPr>
                <w:rFonts w:ascii="Cambria" w:hAnsi="Cambria"/>
                <w:sz w:val="22"/>
                <w:szCs w:val="22"/>
              </w:rPr>
            </w:pPr>
            <w:r w:rsidRPr="00594D4E">
              <w:rPr>
                <w:rFonts w:ascii="Cambria" w:hAnsi="Cambria"/>
                <w:sz w:val="22"/>
                <w:szCs w:val="22"/>
              </w:rPr>
              <w:t>France</w:t>
            </w:r>
          </w:p>
        </w:tc>
        <w:tc>
          <w:tcPr>
            <w:tcW w:w="1260" w:type="dxa"/>
            <w:vMerge w:val="restart"/>
          </w:tcPr>
          <w:p w14:paraId="3C0F47EB" w14:textId="77777777" w:rsidR="00FF73F4" w:rsidRPr="00594D4E" w:rsidRDefault="00FF73F4" w:rsidP="00FF73F4">
            <w:pPr>
              <w:rPr>
                <w:rFonts w:ascii="Cambria" w:hAnsi="Cambria"/>
                <w:sz w:val="22"/>
                <w:szCs w:val="22"/>
              </w:rPr>
            </w:pPr>
            <w:r w:rsidRPr="00594D4E">
              <w:rPr>
                <w:rFonts w:ascii="Cambria" w:hAnsi="Cambria"/>
                <w:sz w:val="22"/>
                <w:szCs w:val="22"/>
              </w:rPr>
              <w:t>CDC</w:t>
            </w:r>
          </w:p>
        </w:tc>
        <w:tc>
          <w:tcPr>
            <w:tcW w:w="990" w:type="dxa"/>
            <w:vMerge w:val="restart"/>
          </w:tcPr>
          <w:p w14:paraId="3146D205" w14:textId="77777777" w:rsidR="00FF73F4" w:rsidRPr="00594D4E" w:rsidRDefault="00FF73F4" w:rsidP="00FF73F4">
            <w:pPr>
              <w:jc w:val="center"/>
              <w:rPr>
                <w:rFonts w:ascii="Cambria" w:hAnsi="Cambria"/>
                <w:sz w:val="22"/>
                <w:szCs w:val="22"/>
              </w:rPr>
            </w:pPr>
            <w:r w:rsidRPr="00594D4E">
              <w:rPr>
                <w:rFonts w:ascii="Cambria" w:hAnsi="Cambria"/>
                <w:sz w:val="22"/>
                <w:szCs w:val="22"/>
              </w:rPr>
              <w:t>1816</w:t>
            </w:r>
          </w:p>
        </w:tc>
        <w:tc>
          <w:tcPr>
            <w:tcW w:w="1836" w:type="dxa"/>
          </w:tcPr>
          <w:p w14:paraId="04F3E6E2" w14:textId="77777777" w:rsidR="00FF73F4" w:rsidRPr="00594D4E" w:rsidRDefault="00FF73F4" w:rsidP="00FF73F4">
            <w:pPr>
              <w:jc w:val="center"/>
              <w:rPr>
                <w:rFonts w:ascii="Cambria" w:hAnsi="Cambria"/>
                <w:sz w:val="22"/>
                <w:szCs w:val="22"/>
              </w:rPr>
            </w:pPr>
            <w:r w:rsidRPr="00594D4E">
              <w:rPr>
                <w:rFonts w:ascii="Cambria" w:hAnsi="Cambria"/>
                <w:sz w:val="22"/>
                <w:szCs w:val="22"/>
              </w:rPr>
              <w:t xml:space="preserve">3 directors are National Assembly deputies; </w:t>
            </w:r>
          </w:p>
          <w:p w14:paraId="1BED1025" w14:textId="77777777" w:rsidR="00FF73F4" w:rsidRPr="00594D4E" w:rsidRDefault="00FF73F4" w:rsidP="00FF73F4">
            <w:pPr>
              <w:jc w:val="center"/>
              <w:rPr>
                <w:rFonts w:ascii="Cambria" w:hAnsi="Cambria"/>
                <w:sz w:val="22"/>
                <w:szCs w:val="22"/>
              </w:rPr>
            </w:pPr>
            <w:r w:rsidRPr="00594D4E">
              <w:rPr>
                <w:rFonts w:ascii="Cambria" w:hAnsi="Cambria"/>
                <w:sz w:val="22"/>
                <w:szCs w:val="22"/>
              </w:rPr>
              <w:t>2 directors are senators;</w:t>
            </w:r>
          </w:p>
          <w:p w14:paraId="70911D13" w14:textId="77777777" w:rsidR="00FF73F4" w:rsidRPr="00594D4E" w:rsidRDefault="00FF73F4" w:rsidP="00FF73F4">
            <w:pPr>
              <w:jc w:val="center"/>
              <w:rPr>
                <w:rFonts w:ascii="Cambria" w:hAnsi="Cambria"/>
                <w:sz w:val="22"/>
                <w:szCs w:val="22"/>
              </w:rPr>
            </w:pPr>
            <w:r w:rsidRPr="00594D4E">
              <w:rPr>
                <w:rFonts w:ascii="Cambria" w:hAnsi="Cambria"/>
                <w:sz w:val="22"/>
                <w:szCs w:val="22"/>
              </w:rPr>
              <w:t>1 director is the Director General of the Treasury</w:t>
            </w:r>
          </w:p>
        </w:tc>
        <w:tc>
          <w:tcPr>
            <w:tcW w:w="1836" w:type="dxa"/>
          </w:tcPr>
          <w:p w14:paraId="0A15669B" w14:textId="77777777" w:rsidR="00FF73F4" w:rsidRPr="00594D4E" w:rsidRDefault="00FF73F4" w:rsidP="00FF73F4">
            <w:pPr>
              <w:jc w:val="center"/>
              <w:rPr>
                <w:rFonts w:ascii="Cambria" w:hAnsi="Cambria"/>
                <w:sz w:val="22"/>
                <w:szCs w:val="22"/>
              </w:rPr>
            </w:pPr>
          </w:p>
        </w:tc>
        <w:tc>
          <w:tcPr>
            <w:tcW w:w="1836" w:type="dxa"/>
          </w:tcPr>
          <w:p w14:paraId="720DEFCB" w14:textId="77777777" w:rsidR="00FF73F4" w:rsidRPr="00594D4E" w:rsidRDefault="00FF73F4" w:rsidP="00FF73F4">
            <w:pPr>
              <w:jc w:val="center"/>
              <w:rPr>
                <w:rFonts w:ascii="Cambria" w:hAnsi="Cambria"/>
                <w:sz w:val="22"/>
                <w:szCs w:val="22"/>
              </w:rPr>
            </w:pPr>
            <w:r w:rsidRPr="00594D4E">
              <w:rPr>
                <w:rFonts w:ascii="Cambria" w:hAnsi="Cambria"/>
                <w:sz w:val="22"/>
                <w:szCs w:val="22"/>
              </w:rPr>
              <w:t>2 directors appointed by CDC staff</w:t>
            </w:r>
          </w:p>
        </w:tc>
      </w:tr>
      <w:tr w:rsidR="00FF73F4" w:rsidRPr="00594D4E" w14:paraId="42494E03" w14:textId="77777777" w:rsidTr="00594D4E">
        <w:tc>
          <w:tcPr>
            <w:tcW w:w="1098" w:type="dxa"/>
            <w:vMerge/>
          </w:tcPr>
          <w:p w14:paraId="11A77456" w14:textId="77777777" w:rsidR="00FF73F4" w:rsidRPr="00594D4E" w:rsidRDefault="00FF73F4" w:rsidP="00FF73F4">
            <w:pPr>
              <w:rPr>
                <w:rFonts w:ascii="Cambria" w:hAnsi="Cambria"/>
                <w:sz w:val="22"/>
                <w:szCs w:val="22"/>
              </w:rPr>
            </w:pPr>
          </w:p>
        </w:tc>
        <w:tc>
          <w:tcPr>
            <w:tcW w:w="1260" w:type="dxa"/>
            <w:vMerge/>
          </w:tcPr>
          <w:p w14:paraId="6026CDD3" w14:textId="77777777" w:rsidR="00FF73F4" w:rsidRPr="00594D4E" w:rsidRDefault="00FF73F4" w:rsidP="00FF73F4">
            <w:pPr>
              <w:rPr>
                <w:rFonts w:ascii="Cambria" w:hAnsi="Cambria"/>
                <w:sz w:val="22"/>
                <w:szCs w:val="22"/>
              </w:rPr>
            </w:pPr>
          </w:p>
        </w:tc>
        <w:tc>
          <w:tcPr>
            <w:tcW w:w="990" w:type="dxa"/>
            <w:vMerge/>
          </w:tcPr>
          <w:p w14:paraId="4BB2F589" w14:textId="77777777" w:rsidR="00FF73F4" w:rsidRPr="00594D4E" w:rsidRDefault="00FF73F4" w:rsidP="00FF73F4">
            <w:pPr>
              <w:jc w:val="center"/>
              <w:rPr>
                <w:rFonts w:ascii="Cambria" w:hAnsi="Cambria"/>
                <w:sz w:val="22"/>
                <w:szCs w:val="22"/>
              </w:rPr>
            </w:pPr>
          </w:p>
        </w:tc>
        <w:tc>
          <w:tcPr>
            <w:tcW w:w="5508" w:type="dxa"/>
            <w:gridSpan w:val="3"/>
          </w:tcPr>
          <w:p w14:paraId="2B827977" w14:textId="77777777" w:rsidR="00FF73F4" w:rsidRPr="00594D4E" w:rsidRDefault="00FF73F4" w:rsidP="00FF73F4">
            <w:pPr>
              <w:jc w:val="center"/>
              <w:rPr>
                <w:rFonts w:ascii="Cambria" w:hAnsi="Cambria"/>
                <w:sz w:val="22"/>
                <w:szCs w:val="22"/>
              </w:rPr>
            </w:pPr>
            <w:r w:rsidRPr="00594D4E">
              <w:rPr>
                <w:rFonts w:ascii="Cambria" w:hAnsi="Cambria"/>
                <w:sz w:val="22"/>
                <w:szCs w:val="22"/>
              </w:rPr>
              <w:t>5 directors appointed by Parliament;</w:t>
            </w:r>
          </w:p>
          <w:p w14:paraId="477A84E6" w14:textId="77777777" w:rsidR="00FF73F4" w:rsidRPr="00594D4E" w:rsidRDefault="00FF73F4" w:rsidP="00FF73F4">
            <w:pPr>
              <w:jc w:val="center"/>
              <w:rPr>
                <w:rFonts w:ascii="Cambria" w:hAnsi="Cambria"/>
                <w:sz w:val="22"/>
                <w:szCs w:val="22"/>
              </w:rPr>
            </w:pPr>
            <w:r w:rsidRPr="00594D4E">
              <w:rPr>
                <w:rFonts w:ascii="Cambria" w:hAnsi="Cambria"/>
                <w:sz w:val="22"/>
                <w:szCs w:val="22"/>
              </w:rPr>
              <w:t>3 “qualified persons” appointed by the State</w:t>
            </w:r>
          </w:p>
        </w:tc>
      </w:tr>
      <w:tr w:rsidR="00FF73F4" w:rsidRPr="00594D4E" w14:paraId="7DE7B7D8" w14:textId="77777777" w:rsidTr="00594D4E">
        <w:tc>
          <w:tcPr>
            <w:tcW w:w="1098" w:type="dxa"/>
            <w:vMerge/>
          </w:tcPr>
          <w:p w14:paraId="1142967E" w14:textId="77777777" w:rsidR="00FF73F4" w:rsidRPr="00594D4E" w:rsidRDefault="00FF73F4" w:rsidP="00FF73F4">
            <w:pPr>
              <w:rPr>
                <w:rFonts w:ascii="Cambria" w:hAnsi="Cambria"/>
                <w:sz w:val="22"/>
                <w:szCs w:val="22"/>
              </w:rPr>
            </w:pPr>
          </w:p>
        </w:tc>
        <w:tc>
          <w:tcPr>
            <w:tcW w:w="1260" w:type="dxa"/>
            <w:vMerge w:val="restart"/>
          </w:tcPr>
          <w:p w14:paraId="42942B9A" w14:textId="77777777" w:rsidR="00FF73F4" w:rsidRPr="00594D4E" w:rsidRDefault="00FF73F4" w:rsidP="00FF73F4">
            <w:pPr>
              <w:rPr>
                <w:rFonts w:ascii="Cambria" w:hAnsi="Cambria"/>
                <w:sz w:val="22"/>
                <w:szCs w:val="22"/>
              </w:rPr>
            </w:pPr>
            <w:r w:rsidRPr="00594D4E">
              <w:rPr>
                <w:rFonts w:ascii="Cambria" w:hAnsi="Cambria"/>
                <w:sz w:val="22"/>
                <w:szCs w:val="22"/>
              </w:rPr>
              <w:t>BPIFrance</w:t>
            </w:r>
          </w:p>
        </w:tc>
        <w:tc>
          <w:tcPr>
            <w:tcW w:w="990" w:type="dxa"/>
            <w:vMerge w:val="restart"/>
          </w:tcPr>
          <w:p w14:paraId="495985E4" w14:textId="77777777" w:rsidR="00FF73F4" w:rsidRPr="00594D4E" w:rsidRDefault="00FF73F4" w:rsidP="00FF73F4">
            <w:pPr>
              <w:jc w:val="center"/>
              <w:rPr>
                <w:rFonts w:ascii="Cambria" w:hAnsi="Cambria"/>
                <w:sz w:val="22"/>
                <w:szCs w:val="22"/>
              </w:rPr>
            </w:pPr>
            <w:r w:rsidRPr="00594D4E">
              <w:rPr>
                <w:rFonts w:ascii="Cambria" w:hAnsi="Cambria"/>
                <w:sz w:val="22"/>
                <w:szCs w:val="22"/>
              </w:rPr>
              <w:t>2013</w:t>
            </w:r>
          </w:p>
        </w:tc>
        <w:tc>
          <w:tcPr>
            <w:tcW w:w="1836" w:type="dxa"/>
          </w:tcPr>
          <w:p w14:paraId="0A725898" w14:textId="77777777" w:rsidR="00FF73F4" w:rsidRPr="00594D4E" w:rsidRDefault="00FF73F4" w:rsidP="00FF73F4">
            <w:pPr>
              <w:jc w:val="center"/>
              <w:rPr>
                <w:rFonts w:ascii="Cambria" w:hAnsi="Cambria"/>
                <w:sz w:val="22"/>
                <w:szCs w:val="22"/>
              </w:rPr>
            </w:pPr>
            <w:r w:rsidRPr="00594D4E">
              <w:rPr>
                <w:rFonts w:ascii="Cambria" w:hAnsi="Cambria"/>
                <w:sz w:val="22"/>
                <w:szCs w:val="22"/>
              </w:rPr>
              <w:t>4 directors appointed by the State; 3 directors appointed by the CDC</w:t>
            </w:r>
          </w:p>
        </w:tc>
        <w:tc>
          <w:tcPr>
            <w:tcW w:w="1836" w:type="dxa"/>
          </w:tcPr>
          <w:p w14:paraId="5FBD6DBF" w14:textId="77777777" w:rsidR="00FF73F4" w:rsidRPr="00594D4E" w:rsidRDefault="00FF73F4" w:rsidP="00FF73F4">
            <w:pPr>
              <w:jc w:val="center"/>
              <w:rPr>
                <w:rFonts w:ascii="Cambria" w:hAnsi="Cambria"/>
                <w:sz w:val="22"/>
                <w:szCs w:val="22"/>
              </w:rPr>
            </w:pPr>
          </w:p>
        </w:tc>
        <w:tc>
          <w:tcPr>
            <w:tcW w:w="1836" w:type="dxa"/>
          </w:tcPr>
          <w:p w14:paraId="012830E0" w14:textId="77777777" w:rsidR="00FF73F4" w:rsidRPr="00594D4E" w:rsidRDefault="00FF73F4" w:rsidP="00FF73F4">
            <w:pPr>
              <w:jc w:val="center"/>
              <w:rPr>
                <w:rFonts w:ascii="Cambria" w:hAnsi="Cambria"/>
                <w:sz w:val="22"/>
                <w:szCs w:val="22"/>
              </w:rPr>
            </w:pPr>
            <w:r w:rsidRPr="00594D4E">
              <w:rPr>
                <w:rFonts w:ascii="Cambria" w:hAnsi="Cambria"/>
                <w:sz w:val="22"/>
                <w:szCs w:val="22"/>
              </w:rPr>
              <w:t>2 directors appointed by French Regions; 2 directors elected by BPIFrance employees</w:t>
            </w:r>
          </w:p>
        </w:tc>
      </w:tr>
      <w:tr w:rsidR="00FF73F4" w:rsidRPr="00594D4E" w14:paraId="27BD2E4F" w14:textId="77777777" w:rsidTr="00594D4E">
        <w:tc>
          <w:tcPr>
            <w:tcW w:w="1098" w:type="dxa"/>
            <w:vMerge/>
          </w:tcPr>
          <w:p w14:paraId="3D84DBB2" w14:textId="77777777" w:rsidR="00FF73F4" w:rsidRPr="00594D4E" w:rsidRDefault="00FF73F4" w:rsidP="00FF73F4">
            <w:pPr>
              <w:rPr>
                <w:rFonts w:ascii="Cambria" w:hAnsi="Cambria"/>
                <w:sz w:val="22"/>
                <w:szCs w:val="22"/>
              </w:rPr>
            </w:pPr>
          </w:p>
        </w:tc>
        <w:tc>
          <w:tcPr>
            <w:tcW w:w="1260" w:type="dxa"/>
            <w:vMerge/>
          </w:tcPr>
          <w:p w14:paraId="2CED1534" w14:textId="77777777" w:rsidR="00FF73F4" w:rsidRPr="00594D4E" w:rsidRDefault="00FF73F4" w:rsidP="00FF73F4">
            <w:pPr>
              <w:rPr>
                <w:rFonts w:ascii="Cambria" w:hAnsi="Cambria"/>
                <w:sz w:val="22"/>
                <w:szCs w:val="22"/>
              </w:rPr>
            </w:pPr>
          </w:p>
        </w:tc>
        <w:tc>
          <w:tcPr>
            <w:tcW w:w="990" w:type="dxa"/>
            <w:vMerge/>
          </w:tcPr>
          <w:p w14:paraId="1E53480E" w14:textId="77777777" w:rsidR="00FF73F4" w:rsidRPr="00594D4E" w:rsidRDefault="00FF73F4" w:rsidP="00FF73F4">
            <w:pPr>
              <w:jc w:val="center"/>
              <w:rPr>
                <w:rFonts w:ascii="Cambria" w:hAnsi="Cambria"/>
                <w:sz w:val="22"/>
                <w:szCs w:val="22"/>
              </w:rPr>
            </w:pPr>
          </w:p>
        </w:tc>
        <w:tc>
          <w:tcPr>
            <w:tcW w:w="5508" w:type="dxa"/>
            <w:gridSpan w:val="3"/>
          </w:tcPr>
          <w:p w14:paraId="7C000498" w14:textId="77777777" w:rsidR="00FF73F4" w:rsidRPr="00594D4E" w:rsidRDefault="00FF73F4" w:rsidP="00FF73F4">
            <w:pPr>
              <w:jc w:val="center"/>
              <w:rPr>
                <w:rFonts w:ascii="Cambria" w:hAnsi="Cambria"/>
                <w:sz w:val="22"/>
                <w:szCs w:val="22"/>
              </w:rPr>
            </w:pPr>
            <w:r w:rsidRPr="00594D4E">
              <w:rPr>
                <w:rFonts w:ascii="Cambria" w:hAnsi="Cambria"/>
                <w:sz w:val="22"/>
                <w:szCs w:val="22"/>
              </w:rPr>
              <w:t>4 “qualified persons” (in practice, 3 representatives of business and the CEO of BPIFrance)</w:t>
            </w:r>
          </w:p>
        </w:tc>
      </w:tr>
      <w:tr w:rsidR="00FF73F4" w:rsidRPr="00594D4E" w14:paraId="519E6B78" w14:textId="77777777" w:rsidTr="00594D4E">
        <w:tc>
          <w:tcPr>
            <w:tcW w:w="1098" w:type="dxa"/>
            <w:tcBorders>
              <w:bottom w:val="single" w:sz="4" w:space="0" w:color="auto"/>
            </w:tcBorders>
          </w:tcPr>
          <w:p w14:paraId="1FA6668A" w14:textId="77777777" w:rsidR="00FF73F4" w:rsidRPr="00594D4E" w:rsidRDefault="00FF73F4" w:rsidP="00FF73F4">
            <w:pPr>
              <w:rPr>
                <w:rFonts w:ascii="Cambria" w:hAnsi="Cambria"/>
                <w:sz w:val="22"/>
                <w:szCs w:val="22"/>
              </w:rPr>
            </w:pPr>
            <w:r w:rsidRPr="00594D4E">
              <w:rPr>
                <w:rFonts w:ascii="Cambria" w:hAnsi="Cambria"/>
                <w:sz w:val="22"/>
                <w:szCs w:val="22"/>
              </w:rPr>
              <w:t>Germany</w:t>
            </w:r>
          </w:p>
        </w:tc>
        <w:tc>
          <w:tcPr>
            <w:tcW w:w="1260" w:type="dxa"/>
            <w:tcBorders>
              <w:bottom w:val="single" w:sz="4" w:space="0" w:color="auto"/>
            </w:tcBorders>
          </w:tcPr>
          <w:p w14:paraId="4DB88DCE" w14:textId="77777777" w:rsidR="00FF73F4" w:rsidRPr="00594D4E" w:rsidRDefault="00FF73F4" w:rsidP="00FF73F4">
            <w:pPr>
              <w:rPr>
                <w:rFonts w:ascii="Cambria" w:hAnsi="Cambria"/>
                <w:sz w:val="22"/>
                <w:szCs w:val="22"/>
              </w:rPr>
            </w:pPr>
            <w:r w:rsidRPr="00594D4E">
              <w:rPr>
                <w:rFonts w:ascii="Cambria" w:hAnsi="Cambria"/>
                <w:sz w:val="22"/>
                <w:szCs w:val="22"/>
              </w:rPr>
              <w:t>KfW</w:t>
            </w:r>
          </w:p>
        </w:tc>
        <w:tc>
          <w:tcPr>
            <w:tcW w:w="990" w:type="dxa"/>
            <w:tcBorders>
              <w:bottom w:val="single" w:sz="4" w:space="0" w:color="auto"/>
            </w:tcBorders>
          </w:tcPr>
          <w:p w14:paraId="3C24F13A" w14:textId="77777777" w:rsidR="00FF73F4" w:rsidRPr="00594D4E" w:rsidRDefault="00FF73F4" w:rsidP="00FF73F4">
            <w:pPr>
              <w:jc w:val="center"/>
              <w:rPr>
                <w:rFonts w:ascii="Cambria" w:hAnsi="Cambria"/>
                <w:sz w:val="22"/>
                <w:szCs w:val="22"/>
              </w:rPr>
            </w:pPr>
            <w:r w:rsidRPr="00594D4E">
              <w:rPr>
                <w:rFonts w:ascii="Cambria" w:hAnsi="Cambria"/>
                <w:sz w:val="22"/>
                <w:szCs w:val="22"/>
              </w:rPr>
              <w:t>1948</w:t>
            </w:r>
          </w:p>
        </w:tc>
        <w:tc>
          <w:tcPr>
            <w:tcW w:w="1836" w:type="dxa"/>
            <w:tcBorders>
              <w:bottom w:val="single" w:sz="4" w:space="0" w:color="auto"/>
            </w:tcBorders>
          </w:tcPr>
          <w:p w14:paraId="70470C4B" w14:textId="77777777" w:rsidR="00FF73F4" w:rsidRPr="00594D4E" w:rsidRDefault="00FF73F4" w:rsidP="00FF73F4">
            <w:pPr>
              <w:rPr>
                <w:rFonts w:ascii="Cambria" w:hAnsi="Cambria"/>
                <w:sz w:val="22"/>
                <w:szCs w:val="22"/>
              </w:rPr>
            </w:pPr>
            <w:r w:rsidRPr="00594D4E">
              <w:rPr>
                <w:rFonts w:ascii="Cambria" w:hAnsi="Cambria"/>
                <w:sz w:val="22"/>
                <w:szCs w:val="22"/>
              </w:rPr>
              <w:t>7 directors are Ministers themselves (with Min. of Finance and Min. of Economy alternating as Chairs);</w:t>
            </w:r>
          </w:p>
          <w:p w14:paraId="70AF8B5C" w14:textId="77777777" w:rsidR="00FF73F4" w:rsidRPr="00594D4E" w:rsidRDefault="00FF73F4" w:rsidP="00FF73F4">
            <w:pPr>
              <w:rPr>
                <w:rFonts w:ascii="Cambria" w:hAnsi="Cambria"/>
                <w:sz w:val="22"/>
                <w:szCs w:val="22"/>
              </w:rPr>
            </w:pPr>
            <w:r w:rsidRPr="00594D4E">
              <w:rPr>
                <w:rFonts w:ascii="Cambria" w:hAnsi="Cambria"/>
                <w:sz w:val="22"/>
                <w:szCs w:val="22"/>
              </w:rPr>
              <w:t>7 directors appointed by the Bundestag; 7 directors appointed by the Bundesrat</w:t>
            </w:r>
          </w:p>
        </w:tc>
        <w:tc>
          <w:tcPr>
            <w:tcW w:w="1836" w:type="dxa"/>
            <w:tcBorders>
              <w:bottom w:val="single" w:sz="4" w:space="0" w:color="auto"/>
            </w:tcBorders>
          </w:tcPr>
          <w:p w14:paraId="19823AD7" w14:textId="77777777" w:rsidR="00FF73F4" w:rsidRPr="00594D4E" w:rsidRDefault="00FF73F4" w:rsidP="00FF73F4">
            <w:pPr>
              <w:rPr>
                <w:rFonts w:ascii="Cambria" w:hAnsi="Cambria"/>
                <w:sz w:val="22"/>
                <w:szCs w:val="22"/>
              </w:rPr>
            </w:pPr>
            <w:r w:rsidRPr="00594D4E">
              <w:rPr>
                <w:rFonts w:ascii="Cambria" w:hAnsi="Cambria"/>
                <w:sz w:val="22"/>
                <w:szCs w:val="22"/>
              </w:rPr>
              <w:t>5 directors representing different segments of the banking industry;</w:t>
            </w:r>
          </w:p>
          <w:p w14:paraId="34180BAB" w14:textId="77777777" w:rsidR="00FF73F4" w:rsidRPr="00594D4E" w:rsidRDefault="00FF73F4" w:rsidP="00FF73F4">
            <w:pPr>
              <w:rPr>
                <w:rFonts w:ascii="Cambria" w:hAnsi="Cambria"/>
                <w:sz w:val="22"/>
                <w:szCs w:val="22"/>
              </w:rPr>
            </w:pPr>
            <w:r w:rsidRPr="00594D4E">
              <w:rPr>
                <w:rFonts w:ascii="Cambria" w:hAnsi="Cambria"/>
                <w:sz w:val="22"/>
                <w:szCs w:val="22"/>
              </w:rPr>
              <w:t>2 reps of industry;</w:t>
            </w:r>
          </w:p>
          <w:p w14:paraId="1984767D" w14:textId="77777777" w:rsidR="00FF73F4" w:rsidRPr="00594D4E" w:rsidRDefault="00FF73F4" w:rsidP="00FF73F4">
            <w:pPr>
              <w:rPr>
                <w:rFonts w:ascii="Cambria" w:hAnsi="Cambria"/>
                <w:sz w:val="22"/>
                <w:szCs w:val="22"/>
              </w:rPr>
            </w:pPr>
            <w:r w:rsidRPr="00594D4E">
              <w:rPr>
                <w:rFonts w:ascii="Cambria" w:hAnsi="Cambria"/>
                <w:sz w:val="22"/>
                <w:szCs w:val="22"/>
              </w:rPr>
              <w:t>1 rep of agriculture;</w:t>
            </w:r>
          </w:p>
          <w:p w14:paraId="09C26B4F" w14:textId="77777777" w:rsidR="00FF73F4" w:rsidRPr="00594D4E" w:rsidRDefault="00FF73F4" w:rsidP="00FF73F4">
            <w:pPr>
              <w:rPr>
                <w:rFonts w:ascii="Cambria" w:hAnsi="Cambria"/>
                <w:sz w:val="22"/>
                <w:szCs w:val="22"/>
              </w:rPr>
            </w:pPr>
            <w:r w:rsidRPr="00594D4E">
              <w:rPr>
                <w:rFonts w:ascii="Cambria" w:hAnsi="Cambria"/>
                <w:sz w:val="22"/>
                <w:szCs w:val="22"/>
              </w:rPr>
              <w:t xml:space="preserve">1 rep of the crafts; </w:t>
            </w:r>
          </w:p>
          <w:p w14:paraId="029B7DA2" w14:textId="77777777" w:rsidR="00FF73F4" w:rsidRPr="00594D4E" w:rsidRDefault="00FF73F4" w:rsidP="00FF73F4">
            <w:pPr>
              <w:rPr>
                <w:rFonts w:ascii="Cambria" w:hAnsi="Cambria"/>
                <w:sz w:val="22"/>
                <w:szCs w:val="22"/>
              </w:rPr>
            </w:pPr>
            <w:r w:rsidRPr="00594D4E">
              <w:rPr>
                <w:rFonts w:ascii="Cambria" w:hAnsi="Cambria"/>
                <w:sz w:val="22"/>
                <w:szCs w:val="22"/>
              </w:rPr>
              <w:t xml:space="preserve">1 rep of trade; </w:t>
            </w:r>
          </w:p>
          <w:p w14:paraId="222F71B7" w14:textId="77777777" w:rsidR="00FF73F4" w:rsidRPr="00594D4E" w:rsidRDefault="00FF73F4" w:rsidP="00FF73F4">
            <w:pPr>
              <w:rPr>
                <w:rFonts w:ascii="Cambria" w:hAnsi="Cambria"/>
                <w:sz w:val="22"/>
                <w:szCs w:val="22"/>
              </w:rPr>
            </w:pPr>
            <w:r w:rsidRPr="00594D4E">
              <w:rPr>
                <w:rFonts w:ascii="Cambria" w:hAnsi="Cambria"/>
                <w:sz w:val="22"/>
                <w:szCs w:val="22"/>
              </w:rPr>
              <w:t xml:space="preserve">1 rep of the housing industry </w:t>
            </w:r>
          </w:p>
        </w:tc>
        <w:tc>
          <w:tcPr>
            <w:tcW w:w="1836" w:type="dxa"/>
            <w:tcBorders>
              <w:bottom w:val="single" w:sz="4" w:space="0" w:color="auto"/>
            </w:tcBorders>
          </w:tcPr>
          <w:p w14:paraId="112A465D" w14:textId="77777777" w:rsidR="00FF73F4" w:rsidRPr="00594D4E" w:rsidRDefault="00FF73F4" w:rsidP="00FF73F4">
            <w:pPr>
              <w:rPr>
                <w:rFonts w:ascii="Cambria" w:hAnsi="Cambria"/>
                <w:sz w:val="22"/>
                <w:szCs w:val="22"/>
              </w:rPr>
            </w:pPr>
            <w:r w:rsidRPr="00594D4E">
              <w:rPr>
                <w:rFonts w:ascii="Cambria" w:hAnsi="Cambria"/>
                <w:sz w:val="22"/>
                <w:szCs w:val="22"/>
              </w:rPr>
              <w:t>1 rep. of the association of municipalities;</w:t>
            </w:r>
          </w:p>
          <w:p w14:paraId="1DDA0FD7" w14:textId="77777777" w:rsidR="00FF73F4" w:rsidRPr="00594D4E" w:rsidRDefault="00FF73F4" w:rsidP="00FF73F4">
            <w:pPr>
              <w:rPr>
                <w:rFonts w:ascii="Cambria" w:hAnsi="Cambria"/>
                <w:sz w:val="22"/>
                <w:szCs w:val="22"/>
              </w:rPr>
            </w:pPr>
            <w:r w:rsidRPr="00594D4E">
              <w:rPr>
                <w:rFonts w:ascii="Cambria" w:hAnsi="Cambria"/>
                <w:sz w:val="22"/>
                <w:szCs w:val="22"/>
              </w:rPr>
              <w:t>4 reps of trade unions</w:t>
            </w:r>
          </w:p>
        </w:tc>
      </w:tr>
      <w:tr w:rsidR="00FF73F4" w14:paraId="687AF60E" w14:textId="77777777" w:rsidTr="00594D4E">
        <w:tc>
          <w:tcPr>
            <w:tcW w:w="8856" w:type="dxa"/>
            <w:gridSpan w:val="6"/>
            <w:tcBorders>
              <w:left w:val="nil"/>
              <w:bottom w:val="nil"/>
              <w:right w:val="nil"/>
            </w:tcBorders>
          </w:tcPr>
          <w:p w14:paraId="36B67B2F" w14:textId="77777777" w:rsidR="00594D4E" w:rsidRDefault="00FF73F4" w:rsidP="00FF73F4">
            <w:pPr>
              <w:rPr>
                <w:rFonts w:ascii="Cambria" w:hAnsi="Cambria"/>
                <w:sz w:val="22"/>
                <w:szCs w:val="22"/>
              </w:rPr>
            </w:pPr>
            <w:r w:rsidRPr="00594D4E">
              <w:rPr>
                <w:rFonts w:ascii="Cambria" w:hAnsi="Cambria"/>
                <w:i/>
                <w:sz w:val="22"/>
                <w:szCs w:val="22"/>
              </w:rPr>
              <w:t>Notes:</w:t>
            </w:r>
            <w:r w:rsidRPr="00594D4E">
              <w:rPr>
                <w:rFonts w:ascii="Cambria" w:hAnsi="Cambria"/>
                <w:sz w:val="22"/>
                <w:szCs w:val="22"/>
                <w:vertAlign w:val="superscript"/>
              </w:rPr>
              <w:t>1</w:t>
            </w:r>
            <w:r w:rsidRPr="00594D4E">
              <w:rPr>
                <w:rFonts w:ascii="Cambria" w:hAnsi="Cambria"/>
                <w:sz w:val="22"/>
                <w:szCs w:val="22"/>
              </w:rPr>
              <w:t xml:space="preserve"> The information above describes the composition of Boards as effective in September 2020 except for PIR (Polish Investments for Development), which ceased to exist in 2016</w:t>
            </w:r>
          </w:p>
          <w:p w14:paraId="458DB58F" w14:textId="11A07845" w:rsidR="0047095F" w:rsidRPr="00594D4E" w:rsidRDefault="0047095F" w:rsidP="00FF73F4">
            <w:pPr>
              <w:rPr>
                <w:rFonts w:ascii="Cambria" w:hAnsi="Cambria"/>
                <w:sz w:val="22"/>
                <w:szCs w:val="22"/>
              </w:rPr>
            </w:pPr>
            <w:r w:rsidRPr="0047095F">
              <w:rPr>
                <w:rFonts w:ascii="Cambria" w:hAnsi="Cambria"/>
                <w:i/>
                <w:sz w:val="22"/>
                <w:szCs w:val="22"/>
              </w:rPr>
              <w:t>Source</w:t>
            </w:r>
            <w:r>
              <w:rPr>
                <w:rFonts w:ascii="Cambria" w:hAnsi="Cambria"/>
                <w:sz w:val="22"/>
                <w:szCs w:val="22"/>
              </w:rPr>
              <w:t>: Own research</w:t>
            </w:r>
          </w:p>
        </w:tc>
      </w:tr>
    </w:tbl>
    <w:p w14:paraId="503E5F63" w14:textId="77777777" w:rsidR="00FF73F4" w:rsidRDefault="00FF73F4" w:rsidP="00FF73F4">
      <w:r>
        <w:br w:type="page"/>
      </w:r>
    </w:p>
    <w:p w14:paraId="23B192F3" w14:textId="255ADEA7" w:rsidR="008E5961" w:rsidRPr="008E5961" w:rsidRDefault="003547C4" w:rsidP="008E5961">
      <w:pPr>
        <w:pStyle w:val="Heading2"/>
        <w:rPr>
          <w:rFonts w:ascii="Cambria" w:hAnsi="Cambria"/>
          <w:b w:val="0"/>
          <w:i/>
          <w:color w:val="auto"/>
          <w:sz w:val="24"/>
          <w:szCs w:val="24"/>
        </w:rPr>
      </w:pPr>
      <w:bookmarkStart w:id="9" w:name="_Toc470120884"/>
      <w:r>
        <w:rPr>
          <w:rFonts w:ascii="Cambria" w:hAnsi="Cambria"/>
          <w:b w:val="0"/>
          <w:i/>
          <w:color w:val="auto"/>
          <w:sz w:val="24"/>
          <w:szCs w:val="24"/>
        </w:rPr>
        <w:t xml:space="preserve">A.3.2.3. </w:t>
      </w:r>
      <w:r w:rsidR="008F0776">
        <w:rPr>
          <w:rFonts w:ascii="Cambria" w:hAnsi="Cambria"/>
          <w:b w:val="0"/>
          <w:i/>
          <w:color w:val="auto"/>
          <w:sz w:val="24"/>
          <w:szCs w:val="24"/>
        </w:rPr>
        <w:t>Assets</w:t>
      </w:r>
      <w:r w:rsidR="008E5961" w:rsidRPr="008E5961">
        <w:rPr>
          <w:rFonts w:ascii="Cambria" w:hAnsi="Cambria"/>
          <w:b w:val="0"/>
          <w:i/>
          <w:color w:val="auto"/>
          <w:sz w:val="24"/>
          <w:szCs w:val="24"/>
        </w:rPr>
        <w:t xml:space="preserve"> of </w:t>
      </w:r>
      <w:r w:rsidR="008F0776">
        <w:rPr>
          <w:rFonts w:ascii="Cambria" w:hAnsi="Cambria"/>
          <w:b w:val="0"/>
          <w:i/>
          <w:color w:val="auto"/>
          <w:sz w:val="24"/>
          <w:szCs w:val="24"/>
        </w:rPr>
        <w:t xml:space="preserve">selected Polish </w:t>
      </w:r>
      <w:r w:rsidR="008E5961" w:rsidRPr="008E5961">
        <w:rPr>
          <w:rFonts w:ascii="Cambria" w:hAnsi="Cambria"/>
          <w:b w:val="0"/>
          <w:i/>
          <w:color w:val="auto"/>
          <w:sz w:val="24"/>
          <w:szCs w:val="24"/>
        </w:rPr>
        <w:t>development institutions</w:t>
      </w:r>
      <w:r w:rsidR="008F0776">
        <w:rPr>
          <w:rFonts w:ascii="Cambria" w:hAnsi="Cambria"/>
          <w:b w:val="0"/>
          <w:i/>
          <w:color w:val="auto"/>
          <w:sz w:val="24"/>
          <w:szCs w:val="24"/>
        </w:rPr>
        <w:t xml:space="preserve"> as % of GDP, 1999-2019</w:t>
      </w:r>
      <w:bookmarkEnd w:id="9"/>
    </w:p>
    <w:p w14:paraId="03DE2CD0" w14:textId="77777777" w:rsidR="00FF73F4" w:rsidRDefault="00FF73F4" w:rsidP="00FF73F4"/>
    <w:p w14:paraId="6AFDBFBD" w14:textId="77777777" w:rsidR="008E5961" w:rsidRDefault="008E5961" w:rsidP="00FF73F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FF73F4" w14:paraId="627D6F5C" w14:textId="77777777" w:rsidTr="008E5961">
        <w:tc>
          <w:tcPr>
            <w:tcW w:w="8856" w:type="dxa"/>
          </w:tcPr>
          <w:p w14:paraId="7D69E4DA" w14:textId="2A1C8024" w:rsidR="00FF73F4" w:rsidRPr="005D24C0" w:rsidRDefault="00FF73F4" w:rsidP="0047095F">
            <w:pPr>
              <w:rPr>
                <w:b/>
              </w:rPr>
            </w:pPr>
            <w:r w:rsidRPr="005D24C0">
              <w:rPr>
                <w:b/>
              </w:rPr>
              <w:t>Assets of the ARP, BGK and PIR/PFR as % of GDP, 1999-2019</w:t>
            </w:r>
          </w:p>
        </w:tc>
      </w:tr>
      <w:tr w:rsidR="00FF73F4" w14:paraId="2DAC3D3B" w14:textId="77777777" w:rsidTr="008E5961">
        <w:tc>
          <w:tcPr>
            <w:tcW w:w="8856" w:type="dxa"/>
          </w:tcPr>
          <w:p w14:paraId="0126197B" w14:textId="77777777" w:rsidR="00FF73F4" w:rsidRDefault="00FF73F4" w:rsidP="00FF73F4">
            <w:r>
              <w:rPr>
                <w:noProof/>
              </w:rPr>
              <w:drawing>
                <wp:inline distT="0" distB="0" distL="0" distR="0" wp14:anchorId="0685BB59" wp14:editId="537109AA">
                  <wp:extent cx="5486400" cy="3533775"/>
                  <wp:effectExtent l="0" t="0" r="25400" b="222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F73F4" w14:paraId="2FA3ADB6" w14:textId="77777777" w:rsidTr="008E5961">
        <w:tc>
          <w:tcPr>
            <w:tcW w:w="8856" w:type="dxa"/>
          </w:tcPr>
          <w:p w14:paraId="43B5C718" w14:textId="77777777" w:rsidR="00FF73F4" w:rsidRDefault="00FF73F4" w:rsidP="00FF73F4">
            <w:r w:rsidRPr="005D24C0">
              <w:rPr>
                <w:i/>
              </w:rPr>
              <w:t>Source</w:t>
            </w:r>
            <w:r>
              <w:t>: annual reports; Eurostat</w:t>
            </w:r>
          </w:p>
        </w:tc>
      </w:tr>
    </w:tbl>
    <w:p w14:paraId="354BF3F0" w14:textId="77777777" w:rsidR="00FF73F4" w:rsidRDefault="00FF73F4" w:rsidP="00FF73F4"/>
    <w:p w14:paraId="3DDA0957" w14:textId="77777777" w:rsidR="00FF73F4" w:rsidRDefault="00FF73F4" w:rsidP="00FF73F4">
      <w:r>
        <w:br w:type="page"/>
      </w:r>
    </w:p>
    <w:p w14:paraId="6E5F2D4C" w14:textId="1993C85F" w:rsidR="008E5961" w:rsidRPr="008E5961" w:rsidRDefault="003547C4" w:rsidP="008E5961">
      <w:pPr>
        <w:pStyle w:val="Heading2"/>
        <w:rPr>
          <w:rFonts w:ascii="Cambria" w:hAnsi="Cambria"/>
          <w:b w:val="0"/>
          <w:i/>
          <w:color w:val="auto"/>
          <w:sz w:val="24"/>
          <w:szCs w:val="24"/>
        </w:rPr>
      </w:pPr>
      <w:bookmarkStart w:id="10" w:name="_Toc470120885"/>
      <w:r>
        <w:rPr>
          <w:rFonts w:ascii="Cambria" w:hAnsi="Cambria"/>
          <w:b w:val="0"/>
          <w:i/>
          <w:color w:val="auto"/>
          <w:sz w:val="24"/>
          <w:szCs w:val="24"/>
        </w:rPr>
        <w:t xml:space="preserve">A.3.2.4. </w:t>
      </w:r>
      <w:r w:rsidR="008F0776">
        <w:rPr>
          <w:rFonts w:ascii="Cambria" w:hAnsi="Cambria"/>
          <w:b w:val="0"/>
          <w:i/>
          <w:color w:val="auto"/>
          <w:sz w:val="24"/>
          <w:szCs w:val="24"/>
        </w:rPr>
        <w:t>Assets</w:t>
      </w:r>
      <w:r w:rsidR="008F0776" w:rsidRPr="008E5961">
        <w:rPr>
          <w:rFonts w:ascii="Cambria" w:hAnsi="Cambria"/>
          <w:b w:val="0"/>
          <w:i/>
          <w:color w:val="auto"/>
          <w:sz w:val="24"/>
          <w:szCs w:val="24"/>
        </w:rPr>
        <w:t xml:space="preserve"> of </w:t>
      </w:r>
      <w:r w:rsidR="00EF41D5">
        <w:rPr>
          <w:rFonts w:ascii="Cambria" w:hAnsi="Cambria"/>
          <w:b w:val="0"/>
          <w:i/>
          <w:color w:val="auto"/>
          <w:sz w:val="24"/>
          <w:szCs w:val="24"/>
        </w:rPr>
        <w:t xml:space="preserve">V4 </w:t>
      </w:r>
      <w:r w:rsidR="008F0776" w:rsidRPr="008E5961">
        <w:rPr>
          <w:rFonts w:ascii="Cambria" w:hAnsi="Cambria"/>
          <w:b w:val="0"/>
          <w:i/>
          <w:color w:val="auto"/>
          <w:sz w:val="24"/>
          <w:szCs w:val="24"/>
        </w:rPr>
        <w:t xml:space="preserve">development </w:t>
      </w:r>
      <w:r w:rsidR="008F0776">
        <w:rPr>
          <w:rFonts w:ascii="Cambria" w:hAnsi="Cambria"/>
          <w:b w:val="0"/>
          <w:i/>
          <w:color w:val="auto"/>
          <w:sz w:val="24"/>
          <w:szCs w:val="24"/>
        </w:rPr>
        <w:t>banks as % of GDP, 1999-2019</w:t>
      </w:r>
      <w:bookmarkEnd w:id="10"/>
    </w:p>
    <w:p w14:paraId="70A52F8F" w14:textId="77777777" w:rsidR="00FF73F4" w:rsidRDefault="00FF73F4" w:rsidP="00FF73F4"/>
    <w:p w14:paraId="164652F5" w14:textId="77777777" w:rsidR="00FF73F4" w:rsidRDefault="00FF73F4" w:rsidP="00FF73F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FF73F4" w14:paraId="098CC413" w14:textId="77777777" w:rsidTr="008E5961">
        <w:tc>
          <w:tcPr>
            <w:tcW w:w="8856" w:type="dxa"/>
          </w:tcPr>
          <w:p w14:paraId="0C1E82CE" w14:textId="557A93B7" w:rsidR="00FF73F4" w:rsidRPr="005D24C0" w:rsidRDefault="008E5961" w:rsidP="008F0776">
            <w:pPr>
              <w:rPr>
                <w:b/>
              </w:rPr>
            </w:pPr>
            <w:r>
              <w:rPr>
                <w:b/>
              </w:rPr>
              <w:t>Assets</w:t>
            </w:r>
            <w:r w:rsidR="00FF73F4" w:rsidRPr="005D24C0">
              <w:rPr>
                <w:b/>
              </w:rPr>
              <w:t xml:space="preserve"> of </w:t>
            </w:r>
            <w:r w:rsidR="008F0776">
              <w:rPr>
                <w:b/>
              </w:rPr>
              <w:t xml:space="preserve">national </w:t>
            </w:r>
            <w:r w:rsidR="00FF73F4" w:rsidRPr="005D24C0">
              <w:rPr>
                <w:b/>
              </w:rPr>
              <w:t xml:space="preserve">development banks </w:t>
            </w:r>
            <w:r>
              <w:rPr>
                <w:b/>
              </w:rPr>
              <w:t xml:space="preserve">as % of GDP </w:t>
            </w:r>
            <w:r w:rsidR="00FF73F4" w:rsidRPr="005D24C0">
              <w:rPr>
                <w:b/>
              </w:rPr>
              <w:t>in the Visegr</w:t>
            </w:r>
            <w:r w:rsidR="00FF73F4" w:rsidRPr="005D24C0">
              <w:rPr>
                <w:rFonts w:ascii="Cambria" w:hAnsi="Cambria"/>
                <w:b/>
              </w:rPr>
              <w:t>á</w:t>
            </w:r>
            <w:r w:rsidR="00FF73F4" w:rsidRPr="005D24C0">
              <w:rPr>
                <w:b/>
              </w:rPr>
              <w:t xml:space="preserve">d </w:t>
            </w:r>
            <w:r w:rsidR="008F0776">
              <w:rPr>
                <w:b/>
              </w:rPr>
              <w:t>Group</w:t>
            </w:r>
            <w:r w:rsidR="00FF73F4" w:rsidRPr="005D24C0">
              <w:rPr>
                <w:b/>
              </w:rPr>
              <w:t>, 1999-2019</w:t>
            </w:r>
          </w:p>
        </w:tc>
      </w:tr>
      <w:tr w:rsidR="00FF73F4" w14:paraId="65A687B6" w14:textId="77777777" w:rsidTr="008E5961">
        <w:tc>
          <w:tcPr>
            <w:tcW w:w="8856" w:type="dxa"/>
          </w:tcPr>
          <w:p w14:paraId="784AB8F5" w14:textId="77777777" w:rsidR="00FF73F4" w:rsidRDefault="00FF73F4" w:rsidP="00FF73F4">
            <w:r>
              <w:rPr>
                <w:noProof/>
              </w:rPr>
              <w:drawing>
                <wp:inline distT="0" distB="0" distL="0" distR="0" wp14:anchorId="328CB1C6" wp14:editId="5A8CCBCD">
                  <wp:extent cx="5486400" cy="3559810"/>
                  <wp:effectExtent l="0" t="0" r="25400" b="2159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F73F4" w14:paraId="6B61A14A" w14:textId="77777777" w:rsidTr="008E5961">
        <w:tc>
          <w:tcPr>
            <w:tcW w:w="8856" w:type="dxa"/>
          </w:tcPr>
          <w:p w14:paraId="40B142EF" w14:textId="77777777" w:rsidR="00FF73F4" w:rsidRPr="008E5961" w:rsidRDefault="00FF73F4" w:rsidP="00FF73F4">
            <w:pPr>
              <w:rPr>
                <w:sz w:val="22"/>
                <w:szCs w:val="22"/>
              </w:rPr>
            </w:pPr>
            <w:r w:rsidRPr="008E5961">
              <w:rPr>
                <w:i/>
                <w:sz w:val="22"/>
                <w:szCs w:val="22"/>
              </w:rPr>
              <w:t>Source</w:t>
            </w:r>
            <w:r w:rsidRPr="008E5961">
              <w:rPr>
                <w:sz w:val="22"/>
                <w:szCs w:val="22"/>
              </w:rPr>
              <w:t>: annual reports; Eurostat</w:t>
            </w:r>
          </w:p>
        </w:tc>
      </w:tr>
    </w:tbl>
    <w:p w14:paraId="1B758540" w14:textId="77777777" w:rsidR="00FF73F4" w:rsidRDefault="00FF73F4" w:rsidP="00FF73F4"/>
    <w:p w14:paraId="0CC1E4B6" w14:textId="77777777" w:rsidR="008E7877" w:rsidRDefault="008E7877"/>
    <w:p w14:paraId="74EF38AB" w14:textId="185DF39B" w:rsidR="00B54E6D" w:rsidRDefault="00B54E6D">
      <w:r>
        <w:br w:type="page"/>
      </w:r>
    </w:p>
    <w:p w14:paraId="2E406F37" w14:textId="6DAE2B19" w:rsidR="00B54E6D" w:rsidRDefault="00B54E6D" w:rsidP="00B54E6D">
      <w:pPr>
        <w:pStyle w:val="Heading1"/>
        <w:rPr>
          <w:rFonts w:ascii="Cambria" w:hAnsi="Cambria"/>
          <w:b w:val="0"/>
          <w:color w:val="auto"/>
          <w:sz w:val="24"/>
          <w:szCs w:val="24"/>
        </w:rPr>
      </w:pPr>
      <w:bookmarkStart w:id="11" w:name="_Toc470120886"/>
      <w:r>
        <w:rPr>
          <w:rFonts w:ascii="Cambria" w:hAnsi="Cambria"/>
          <w:color w:val="auto"/>
          <w:sz w:val="24"/>
          <w:szCs w:val="24"/>
        </w:rPr>
        <w:t>A.3.3</w:t>
      </w:r>
      <w:r w:rsidRPr="00976F4C">
        <w:rPr>
          <w:rFonts w:ascii="Cambria" w:hAnsi="Cambria"/>
          <w:color w:val="auto"/>
          <w:sz w:val="24"/>
          <w:szCs w:val="24"/>
        </w:rPr>
        <w:t xml:space="preserve">. </w:t>
      </w:r>
      <w:r>
        <w:rPr>
          <w:rFonts w:ascii="Cambria" w:hAnsi="Cambria"/>
          <w:color w:val="auto"/>
          <w:sz w:val="24"/>
          <w:szCs w:val="24"/>
        </w:rPr>
        <w:t>New industrial policies</w:t>
      </w:r>
      <w:bookmarkEnd w:id="11"/>
    </w:p>
    <w:p w14:paraId="4DB85F08" w14:textId="77777777" w:rsidR="00B54E6D" w:rsidRDefault="00B54E6D" w:rsidP="00FC2F85"/>
    <w:p w14:paraId="7C7F2FEC" w14:textId="77777777" w:rsidR="00254700" w:rsidRDefault="00254700" w:rsidP="00FC2F85"/>
    <w:p w14:paraId="19FC945A" w14:textId="3EBA44B5" w:rsidR="00F514F6" w:rsidRPr="00254700" w:rsidRDefault="003547C4" w:rsidP="00F514F6">
      <w:pPr>
        <w:pStyle w:val="Heading2"/>
        <w:rPr>
          <w:rFonts w:ascii="Cambria" w:hAnsi="Cambria"/>
          <w:b w:val="0"/>
          <w:i/>
          <w:color w:val="auto"/>
          <w:sz w:val="24"/>
          <w:szCs w:val="24"/>
        </w:rPr>
      </w:pPr>
      <w:bookmarkStart w:id="12" w:name="_Toc470120887"/>
      <w:r>
        <w:rPr>
          <w:rFonts w:ascii="Cambria" w:hAnsi="Cambria"/>
          <w:b w:val="0"/>
          <w:i/>
          <w:color w:val="auto"/>
          <w:sz w:val="24"/>
          <w:szCs w:val="24"/>
        </w:rPr>
        <w:t xml:space="preserve">A.3.3.1. </w:t>
      </w:r>
      <w:r w:rsidR="00F514F6" w:rsidRPr="00254700">
        <w:rPr>
          <w:rFonts w:ascii="Cambria" w:hAnsi="Cambria"/>
          <w:b w:val="0"/>
          <w:i/>
          <w:color w:val="auto"/>
          <w:sz w:val="24"/>
          <w:szCs w:val="24"/>
        </w:rPr>
        <w:t>“Flagship projects” defined in the 2017 Strategy for Responsible Development</w:t>
      </w:r>
      <w:bookmarkEnd w:id="12"/>
    </w:p>
    <w:p w14:paraId="09D3EF14" w14:textId="77777777" w:rsidR="00F514F6" w:rsidRDefault="00F514F6" w:rsidP="00F514F6">
      <w:pPr>
        <w:widowControl w:val="0"/>
        <w:autoSpaceDE w:val="0"/>
        <w:autoSpaceDN w:val="0"/>
        <w:adjustRightInd w:val="0"/>
        <w:jc w:val="both"/>
        <w:rPr>
          <w:rFonts w:ascii="Cambria" w:hAnsi="Cambria" w:cs="Times New Roman"/>
        </w:rPr>
      </w:pPr>
    </w:p>
    <w:p w14:paraId="1920057C" w14:textId="77777777" w:rsidR="00254700" w:rsidRPr="005A2D9B" w:rsidRDefault="00254700" w:rsidP="00F514F6">
      <w:pPr>
        <w:widowControl w:val="0"/>
        <w:autoSpaceDE w:val="0"/>
        <w:autoSpaceDN w:val="0"/>
        <w:adjustRightInd w:val="0"/>
        <w:jc w:val="both"/>
        <w:rPr>
          <w:rFonts w:ascii="Cambria" w:hAnsi="Cambria" w:cs="Times New Roman"/>
        </w:rPr>
      </w:pPr>
    </w:p>
    <w:p w14:paraId="22879674"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Batory</w:t>
      </w:r>
      <w:r w:rsidRPr="005A2D9B">
        <w:rPr>
          <w:rFonts w:ascii="Cambria" w:hAnsi="Cambria" w:cs="Times New Roman"/>
        </w:rPr>
        <w:t xml:space="preserve"> – stimulating the development of technology, design and construction of Polish vessels and marine structures, shifting the shipbuilding sector towards the production of innovative products and specialized vessels with high added value.</w:t>
      </w:r>
    </w:p>
    <w:p w14:paraId="46A39EDB" w14:textId="77777777" w:rsidR="00F514F6" w:rsidRPr="005A2D9B" w:rsidRDefault="00F514F6" w:rsidP="00F514F6">
      <w:pPr>
        <w:widowControl w:val="0"/>
        <w:autoSpaceDE w:val="0"/>
        <w:autoSpaceDN w:val="0"/>
        <w:adjustRightInd w:val="0"/>
        <w:jc w:val="both"/>
        <w:rPr>
          <w:rFonts w:ascii="Cambria" w:hAnsi="Cambria" w:cs="Times New Roman"/>
        </w:rPr>
      </w:pPr>
    </w:p>
    <w:p w14:paraId="0E1212AD"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Żwirko and Wigura</w:t>
      </w:r>
      <w:r w:rsidRPr="005A2D9B">
        <w:rPr>
          <w:rFonts w:ascii="Cambria" w:hAnsi="Cambria" w:cs="Times New Roman"/>
        </w:rPr>
        <w:t>: stimulating the development of integrated management systems that acquire data from unmanned aerial vehicles - services based on the use of drones.</w:t>
      </w:r>
    </w:p>
    <w:p w14:paraId="66632587" w14:textId="77777777" w:rsidR="00F514F6" w:rsidRPr="005A2D9B" w:rsidRDefault="00F514F6" w:rsidP="00F514F6">
      <w:pPr>
        <w:widowControl w:val="0"/>
        <w:autoSpaceDE w:val="0"/>
        <w:autoSpaceDN w:val="0"/>
        <w:adjustRightInd w:val="0"/>
        <w:jc w:val="both"/>
        <w:rPr>
          <w:rFonts w:ascii="Cambria" w:hAnsi="Cambria" w:cs="Times New Roman"/>
        </w:rPr>
      </w:pPr>
    </w:p>
    <w:p w14:paraId="04A38C1B"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E-bus</w:t>
      </w:r>
      <w:r w:rsidRPr="005A2D9B">
        <w:rPr>
          <w:rFonts w:ascii="Cambria" w:hAnsi="Cambria" w:cs="Times New Roman"/>
        </w:rPr>
        <w:t xml:space="preserve"> – stimulating the design and production of Polish electric vehicles for the needs of public transport; building strong entities at all stages of the value chain in public transport rolling stock production - electric buses, trams.</w:t>
      </w:r>
    </w:p>
    <w:p w14:paraId="1142960B" w14:textId="77777777" w:rsidR="00F514F6" w:rsidRPr="005A2D9B" w:rsidRDefault="00F514F6" w:rsidP="00F514F6">
      <w:pPr>
        <w:widowControl w:val="0"/>
        <w:autoSpaceDE w:val="0"/>
        <w:autoSpaceDN w:val="0"/>
        <w:adjustRightInd w:val="0"/>
        <w:jc w:val="both"/>
        <w:rPr>
          <w:rFonts w:ascii="Cambria" w:hAnsi="Cambria" w:cs="Times New Roman"/>
        </w:rPr>
      </w:pPr>
    </w:p>
    <w:p w14:paraId="4282DA3F"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 xml:space="preserve">Electric Car </w:t>
      </w:r>
      <w:r w:rsidRPr="005A2D9B">
        <w:rPr>
          <w:rFonts w:ascii="Cambria" w:hAnsi="Cambria" w:cs="Times New Roman"/>
        </w:rPr>
        <w:t>– stimulating the development of technology, production of and market for electric cars.</w:t>
      </w:r>
    </w:p>
    <w:p w14:paraId="30FB69D8" w14:textId="77777777" w:rsidR="00F514F6" w:rsidRPr="005A2D9B" w:rsidRDefault="00F514F6" w:rsidP="00F514F6">
      <w:pPr>
        <w:widowControl w:val="0"/>
        <w:autoSpaceDE w:val="0"/>
        <w:autoSpaceDN w:val="0"/>
        <w:adjustRightInd w:val="0"/>
        <w:jc w:val="both"/>
        <w:rPr>
          <w:rFonts w:ascii="Cambria" w:hAnsi="Cambria" w:cs="Times New Roman"/>
        </w:rPr>
      </w:pPr>
    </w:p>
    <w:p w14:paraId="38185DD5"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Luxtorpeda 2.0</w:t>
      </w:r>
      <w:r w:rsidRPr="005A2D9B">
        <w:rPr>
          <w:rFonts w:ascii="Cambria" w:hAnsi="Cambria" w:cs="Times New Roman"/>
        </w:rPr>
        <w:t xml:space="preserve"> – stimulating the development of technology and the production of Polish rail vehicles, with particular emphasis on passenger transport vehicles.</w:t>
      </w:r>
    </w:p>
    <w:p w14:paraId="19D49078" w14:textId="77777777" w:rsidR="00F514F6" w:rsidRPr="005A2D9B" w:rsidRDefault="00F514F6" w:rsidP="00F514F6">
      <w:pPr>
        <w:widowControl w:val="0"/>
        <w:autoSpaceDE w:val="0"/>
        <w:autoSpaceDN w:val="0"/>
        <w:adjustRightInd w:val="0"/>
        <w:jc w:val="both"/>
        <w:rPr>
          <w:rFonts w:ascii="Cambria" w:hAnsi="Cambria" w:cs="Times New Roman"/>
        </w:rPr>
      </w:pPr>
    </w:p>
    <w:p w14:paraId="0AB70824"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Cyberpark Enigma</w:t>
      </w:r>
      <w:r w:rsidRPr="005A2D9B">
        <w:rPr>
          <w:rFonts w:ascii="Cambria" w:hAnsi="Cambria" w:cs="Times New Roman"/>
        </w:rPr>
        <w:t xml:space="preserve"> – As part of developing the competences of Polish companies and R&amp;D units in the field of cyber security and data analysis, a Cyberpark Enigma center will be created and will have the potential to compete on the European market of specialized IT services. Other solutions supporting the development of the Polish IT sector potential will also be developed.</w:t>
      </w:r>
    </w:p>
    <w:p w14:paraId="2ABFF790" w14:textId="77777777" w:rsidR="00F514F6" w:rsidRPr="005A2D9B" w:rsidRDefault="00F514F6" w:rsidP="00F514F6">
      <w:pPr>
        <w:widowControl w:val="0"/>
        <w:autoSpaceDE w:val="0"/>
        <w:autoSpaceDN w:val="0"/>
        <w:adjustRightInd w:val="0"/>
        <w:jc w:val="both"/>
        <w:rPr>
          <w:rFonts w:ascii="Cambria" w:hAnsi="Cambria" w:cs="Times New Roman"/>
        </w:rPr>
      </w:pPr>
    </w:p>
    <w:p w14:paraId="218928C7"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 xml:space="preserve">Telemedicine </w:t>
      </w:r>
      <w:r w:rsidRPr="005A2D9B">
        <w:rPr>
          <w:rFonts w:ascii="Cambria" w:hAnsi="Cambria" w:cs="Times New Roman"/>
        </w:rPr>
        <w:t>– stimulating the development of modern medical services and products using innovative communication technologies; innovative products (services and technologies) will be prepared to improve access to specialist medical services;</w:t>
      </w:r>
    </w:p>
    <w:p w14:paraId="25EE2F7D" w14:textId="77777777" w:rsidR="00F514F6" w:rsidRPr="005A2D9B" w:rsidRDefault="00F514F6" w:rsidP="00F514F6">
      <w:pPr>
        <w:widowControl w:val="0"/>
        <w:autoSpaceDE w:val="0"/>
        <w:autoSpaceDN w:val="0"/>
        <w:adjustRightInd w:val="0"/>
        <w:jc w:val="both"/>
        <w:rPr>
          <w:rFonts w:ascii="Cambria" w:hAnsi="Cambria" w:cs="Times New Roman"/>
        </w:rPr>
      </w:pPr>
    </w:p>
    <w:p w14:paraId="3DA0960B"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 xml:space="preserve">Center for the Development of Biotechnology </w:t>
      </w:r>
      <w:r w:rsidRPr="005A2D9B">
        <w:rPr>
          <w:rFonts w:ascii="Cambria" w:hAnsi="Cambria" w:cs="Times New Roman"/>
        </w:rPr>
        <w:t>– building Poland's position as a European center (hub) for advanced generic and bio-similar drugs. It will support the development opportunities of Polish companies in the production of modern drugs and their expansion into global markets;</w:t>
      </w:r>
    </w:p>
    <w:p w14:paraId="54A8F059" w14:textId="77777777" w:rsidR="00F514F6" w:rsidRPr="005A2D9B" w:rsidRDefault="00F514F6" w:rsidP="00F514F6">
      <w:pPr>
        <w:widowControl w:val="0"/>
        <w:autoSpaceDE w:val="0"/>
        <w:autoSpaceDN w:val="0"/>
        <w:adjustRightInd w:val="0"/>
        <w:jc w:val="both"/>
        <w:rPr>
          <w:rFonts w:ascii="Cambria" w:hAnsi="Cambria" w:cs="Times New Roman"/>
        </w:rPr>
      </w:pPr>
    </w:p>
    <w:p w14:paraId="701963B1"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Polish medical devices</w:t>
      </w:r>
      <w:r w:rsidRPr="005A2D9B">
        <w:rPr>
          <w:rFonts w:ascii="Cambria" w:hAnsi="Cambria" w:cs="Times New Roman"/>
        </w:rPr>
        <w:t xml:space="preserve"> – support for research and development and the commercialization of medical devices from strategic groups (e.g. Polish medical robot, artificial organs, cross-linked software solutions - software + devices, systems supporting or replacing the senses); aimed at stimulating the development of modern medical devices on the market domestic and foreign markets.</w:t>
      </w:r>
    </w:p>
    <w:p w14:paraId="19126395" w14:textId="77777777" w:rsidR="00F514F6" w:rsidRPr="005A2D9B" w:rsidRDefault="00F514F6" w:rsidP="00F514F6">
      <w:pPr>
        <w:widowControl w:val="0"/>
        <w:autoSpaceDE w:val="0"/>
        <w:autoSpaceDN w:val="0"/>
        <w:adjustRightInd w:val="0"/>
        <w:jc w:val="both"/>
        <w:rPr>
          <w:rFonts w:ascii="Cambria" w:hAnsi="Cambria" w:cs="Times New Roman"/>
        </w:rPr>
      </w:pPr>
    </w:p>
    <w:p w14:paraId="7182FC5B"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Eco-buildings</w:t>
      </w:r>
      <w:r w:rsidRPr="005A2D9B">
        <w:rPr>
          <w:rFonts w:ascii="Cambria" w:hAnsi="Cambria" w:cs="Times New Roman"/>
        </w:rPr>
        <w:t xml:space="preserve"> – stimulating the preparation and implementation of selected ecological construction products (including raw materials, wood, etc.), taking into account the energy efficiency requirements of modern building materials.</w:t>
      </w:r>
    </w:p>
    <w:p w14:paraId="491815DC" w14:textId="77777777" w:rsidR="00F514F6" w:rsidRPr="005A2D9B" w:rsidRDefault="00F514F6" w:rsidP="00F514F6">
      <w:pPr>
        <w:widowControl w:val="0"/>
        <w:autoSpaceDE w:val="0"/>
        <w:autoSpaceDN w:val="0"/>
        <w:adjustRightInd w:val="0"/>
        <w:jc w:val="both"/>
        <w:rPr>
          <w:rFonts w:ascii="Cambria" w:hAnsi="Cambria" w:cs="Times New Roman"/>
        </w:rPr>
      </w:pPr>
    </w:p>
    <w:p w14:paraId="3C0B7ADB"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 xml:space="preserve">Polish furniture </w:t>
      </w:r>
      <w:r w:rsidRPr="005A2D9B">
        <w:rPr>
          <w:rFonts w:ascii="Cambria" w:hAnsi="Cambria" w:cs="Times New Roman"/>
        </w:rPr>
        <w:t>– stimulating the development of industrial design and creating strong Polish brands using modern technologies and eco-design.</w:t>
      </w:r>
    </w:p>
    <w:p w14:paraId="1F74E68C" w14:textId="77777777" w:rsidR="00F514F6" w:rsidRPr="005A2D9B" w:rsidRDefault="00F514F6" w:rsidP="00F514F6">
      <w:pPr>
        <w:widowControl w:val="0"/>
        <w:autoSpaceDE w:val="0"/>
        <w:autoSpaceDN w:val="0"/>
        <w:adjustRightInd w:val="0"/>
        <w:jc w:val="both"/>
        <w:rPr>
          <w:rFonts w:ascii="Cambria" w:hAnsi="Cambria" w:cs="Times New Roman"/>
        </w:rPr>
      </w:pPr>
    </w:p>
    <w:p w14:paraId="62BD4B2B" w14:textId="77777777" w:rsidR="00F514F6" w:rsidRPr="005A2D9B" w:rsidRDefault="00F514F6" w:rsidP="00F514F6">
      <w:pPr>
        <w:pStyle w:val="ListParagraph"/>
        <w:widowControl w:val="0"/>
        <w:numPr>
          <w:ilvl w:val="0"/>
          <w:numId w:val="1"/>
        </w:numPr>
        <w:autoSpaceDE w:val="0"/>
        <w:autoSpaceDN w:val="0"/>
        <w:adjustRightInd w:val="0"/>
        <w:jc w:val="both"/>
        <w:rPr>
          <w:rFonts w:ascii="Cambria" w:hAnsi="Cambria" w:cs="Times New Roman"/>
        </w:rPr>
      </w:pPr>
      <w:r w:rsidRPr="005A2D9B">
        <w:rPr>
          <w:rFonts w:ascii="Cambria" w:hAnsi="Cambria" w:cs="Times New Roman"/>
          <w:b/>
        </w:rPr>
        <w:t>Intelligent mine</w:t>
      </w:r>
      <w:r w:rsidRPr="005A2D9B">
        <w:rPr>
          <w:rFonts w:ascii="Cambria" w:hAnsi="Cambria" w:cs="Times New Roman"/>
        </w:rPr>
        <w:t xml:space="preserve"> – stimulating the development of products enabling Polish industry to gain a significant position on the global mining and construction machinery market.</w:t>
      </w:r>
    </w:p>
    <w:p w14:paraId="12F9A750" w14:textId="77777777" w:rsidR="00F514F6" w:rsidRPr="008D1629" w:rsidRDefault="00F514F6" w:rsidP="00F514F6">
      <w:pPr>
        <w:widowControl w:val="0"/>
        <w:autoSpaceDE w:val="0"/>
        <w:autoSpaceDN w:val="0"/>
        <w:adjustRightInd w:val="0"/>
        <w:rPr>
          <w:rFonts w:ascii="Cambria" w:hAnsi="Cambria" w:cs="Times New Roman"/>
        </w:rPr>
      </w:pPr>
    </w:p>
    <w:p w14:paraId="0E9450C0" w14:textId="77777777" w:rsidR="00F514F6" w:rsidRPr="005A2D9B" w:rsidRDefault="00F514F6" w:rsidP="00F514F6">
      <w:pPr>
        <w:widowControl w:val="0"/>
        <w:autoSpaceDE w:val="0"/>
        <w:autoSpaceDN w:val="0"/>
        <w:adjustRightInd w:val="0"/>
        <w:jc w:val="both"/>
        <w:rPr>
          <w:rFonts w:ascii="Cambria" w:hAnsi="Cambria" w:cs="Times New Roman"/>
        </w:rPr>
      </w:pPr>
      <w:r w:rsidRPr="00254700">
        <w:rPr>
          <w:rFonts w:ascii="Cambria" w:hAnsi="Cambria" w:cs="Times New Roman"/>
          <w:i/>
        </w:rPr>
        <w:t>Source:</w:t>
      </w:r>
      <w:r w:rsidRPr="005A2D9B">
        <w:rPr>
          <w:rFonts w:ascii="Cambria" w:hAnsi="Cambria" w:cs="Times New Roman"/>
        </w:rPr>
        <w:t xml:space="preserve"> Strategia Odpowiedzialnego Rozwoju [Strategy for Responsible Development], Warsaw, 2017</w:t>
      </w:r>
    </w:p>
    <w:p w14:paraId="6AEAA16D" w14:textId="77777777" w:rsidR="00F514F6" w:rsidRDefault="00F514F6" w:rsidP="00F514F6"/>
    <w:p w14:paraId="4E9251D3" w14:textId="77777777" w:rsidR="00FC2F85" w:rsidRDefault="00FC2F85" w:rsidP="00FC2F85"/>
    <w:p w14:paraId="3522A6F9" w14:textId="77777777" w:rsidR="00B54E6D" w:rsidRPr="00B54E6D" w:rsidRDefault="00B54E6D" w:rsidP="00B54E6D"/>
    <w:p w14:paraId="675741F8" w14:textId="77777777" w:rsidR="00B54E6D" w:rsidRDefault="00B54E6D"/>
    <w:p w14:paraId="198ABDEF" w14:textId="77777777" w:rsidR="00B54E6D" w:rsidRDefault="00B54E6D"/>
    <w:p w14:paraId="7AA53072" w14:textId="77777777" w:rsidR="00B54E6D" w:rsidRDefault="00B54E6D"/>
    <w:sectPr w:rsidR="00B54E6D" w:rsidSect="008A0CF9">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592D50" w14:textId="77777777" w:rsidR="005301ED" w:rsidRDefault="005301ED" w:rsidP="005301ED">
      <w:r>
        <w:separator/>
      </w:r>
    </w:p>
  </w:endnote>
  <w:endnote w:type="continuationSeparator" w:id="0">
    <w:p w14:paraId="1E7D75E1" w14:textId="77777777" w:rsidR="005301ED" w:rsidRDefault="005301ED" w:rsidP="00530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ˇhTˇ">
    <w:altName w:val="Cambria"/>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FAEF1" w14:textId="77777777" w:rsidR="005301ED" w:rsidRDefault="005301ED"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70EA0C" w14:textId="77777777" w:rsidR="005301ED" w:rsidRDefault="005301ED" w:rsidP="005301E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08ED8" w14:textId="77777777" w:rsidR="005301ED" w:rsidRDefault="005301ED"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CDB7E13" w14:textId="77777777" w:rsidR="005301ED" w:rsidRDefault="005301ED" w:rsidP="005301E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AB47E" w14:textId="77777777" w:rsidR="005301ED" w:rsidRDefault="005301ED" w:rsidP="005301ED">
      <w:r>
        <w:separator/>
      </w:r>
    </w:p>
  </w:footnote>
  <w:footnote w:type="continuationSeparator" w:id="0">
    <w:p w14:paraId="64D5318A" w14:textId="77777777" w:rsidR="005301ED" w:rsidRDefault="005301ED" w:rsidP="005301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C0AA4"/>
    <w:multiLevelType w:val="hybridMultilevel"/>
    <w:tmpl w:val="9866EC9A"/>
    <w:lvl w:ilvl="0" w:tplc="60423834">
      <w:start w:val="12"/>
      <w:numFmt w:val="bullet"/>
      <w:lvlText w:val="-"/>
      <w:lvlJc w:val="left"/>
      <w:pPr>
        <w:ind w:left="720" w:hanging="360"/>
      </w:pPr>
      <w:rPr>
        <w:rFonts w:ascii="Cambria" w:eastAsiaTheme="minorEastAsia" w:hAnsi="Cambria" w:cs="PˇhTˇ"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756"/>
    <w:rsid w:val="000E6A46"/>
    <w:rsid w:val="000F0E8C"/>
    <w:rsid w:val="00182C6B"/>
    <w:rsid w:val="001B48D2"/>
    <w:rsid w:val="00254700"/>
    <w:rsid w:val="002E4517"/>
    <w:rsid w:val="003547C4"/>
    <w:rsid w:val="0039601F"/>
    <w:rsid w:val="0047095F"/>
    <w:rsid w:val="004B1756"/>
    <w:rsid w:val="005301ED"/>
    <w:rsid w:val="0057718D"/>
    <w:rsid w:val="00594D4E"/>
    <w:rsid w:val="00611EFA"/>
    <w:rsid w:val="00681776"/>
    <w:rsid w:val="007465F0"/>
    <w:rsid w:val="007C7948"/>
    <w:rsid w:val="008A0CF9"/>
    <w:rsid w:val="008E5961"/>
    <w:rsid w:val="008E7877"/>
    <w:rsid w:val="008F0776"/>
    <w:rsid w:val="0095250E"/>
    <w:rsid w:val="00976F4C"/>
    <w:rsid w:val="00B54E6D"/>
    <w:rsid w:val="00CF2ED0"/>
    <w:rsid w:val="00D23891"/>
    <w:rsid w:val="00EB6FBD"/>
    <w:rsid w:val="00EF41D5"/>
    <w:rsid w:val="00F514F6"/>
    <w:rsid w:val="00FC2F85"/>
    <w:rsid w:val="00FF73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72AA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6F4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465F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4B1756"/>
    <w:pPr>
      <w:spacing w:before="120"/>
    </w:pPr>
    <w:rPr>
      <w:b/>
    </w:rPr>
  </w:style>
  <w:style w:type="character" w:customStyle="1" w:styleId="Heading1Char">
    <w:name w:val="Heading 1 Char"/>
    <w:basedOn w:val="DefaultParagraphFont"/>
    <w:link w:val="Heading1"/>
    <w:uiPriority w:val="9"/>
    <w:rsid w:val="00976F4C"/>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746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465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65F0"/>
    <w:rPr>
      <w:rFonts w:ascii="Lucida Grande" w:hAnsi="Lucida Grande" w:cs="Lucida Grande"/>
      <w:sz w:val="18"/>
      <w:szCs w:val="18"/>
    </w:rPr>
  </w:style>
  <w:style w:type="character" w:customStyle="1" w:styleId="Heading2Char">
    <w:name w:val="Heading 2 Char"/>
    <w:basedOn w:val="DefaultParagraphFont"/>
    <w:link w:val="Heading2"/>
    <w:uiPriority w:val="9"/>
    <w:rsid w:val="007465F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7C7948"/>
    <w:rPr>
      <w:color w:val="0000FF"/>
      <w:u w:val="single"/>
    </w:rPr>
  </w:style>
  <w:style w:type="character" w:styleId="CommentReference">
    <w:name w:val="annotation reference"/>
    <w:basedOn w:val="DefaultParagraphFont"/>
    <w:uiPriority w:val="99"/>
    <w:semiHidden/>
    <w:unhideWhenUsed/>
    <w:rsid w:val="007C7948"/>
    <w:rPr>
      <w:sz w:val="18"/>
      <w:szCs w:val="18"/>
    </w:rPr>
  </w:style>
  <w:style w:type="paragraph" w:styleId="CommentText">
    <w:name w:val="annotation text"/>
    <w:basedOn w:val="Normal"/>
    <w:link w:val="CommentTextChar"/>
    <w:uiPriority w:val="99"/>
    <w:semiHidden/>
    <w:unhideWhenUsed/>
    <w:rsid w:val="007C7948"/>
  </w:style>
  <w:style w:type="character" w:customStyle="1" w:styleId="CommentTextChar">
    <w:name w:val="Comment Text Char"/>
    <w:basedOn w:val="DefaultParagraphFont"/>
    <w:link w:val="CommentText"/>
    <w:uiPriority w:val="99"/>
    <w:semiHidden/>
    <w:rsid w:val="007C7948"/>
  </w:style>
  <w:style w:type="paragraph" w:styleId="TOC2">
    <w:name w:val="toc 2"/>
    <w:basedOn w:val="Normal"/>
    <w:next w:val="Normal"/>
    <w:autoRedefine/>
    <w:uiPriority w:val="39"/>
    <w:unhideWhenUsed/>
    <w:rsid w:val="001B48D2"/>
    <w:pPr>
      <w:ind w:left="240"/>
    </w:pPr>
    <w:rPr>
      <w:b/>
      <w:sz w:val="22"/>
      <w:szCs w:val="22"/>
    </w:rPr>
  </w:style>
  <w:style w:type="paragraph" w:styleId="TOC3">
    <w:name w:val="toc 3"/>
    <w:basedOn w:val="Normal"/>
    <w:next w:val="Normal"/>
    <w:autoRedefine/>
    <w:uiPriority w:val="39"/>
    <w:unhideWhenUsed/>
    <w:rsid w:val="001B48D2"/>
    <w:pPr>
      <w:ind w:left="480"/>
    </w:pPr>
    <w:rPr>
      <w:sz w:val="22"/>
      <w:szCs w:val="22"/>
    </w:rPr>
  </w:style>
  <w:style w:type="paragraph" w:styleId="TOC4">
    <w:name w:val="toc 4"/>
    <w:basedOn w:val="Normal"/>
    <w:next w:val="Normal"/>
    <w:autoRedefine/>
    <w:uiPriority w:val="39"/>
    <w:unhideWhenUsed/>
    <w:rsid w:val="001B48D2"/>
    <w:pPr>
      <w:ind w:left="720"/>
    </w:pPr>
    <w:rPr>
      <w:sz w:val="20"/>
      <w:szCs w:val="20"/>
    </w:rPr>
  </w:style>
  <w:style w:type="paragraph" w:styleId="TOC5">
    <w:name w:val="toc 5"/>
    <w:basedOn w:val="Normal"/>
    <w:next w:val="Normal"/>
    <w:autoRedefine/>
    <w:uiPriority w:val="39"/>
    <w:unhideWhenUsed/>
    <w:rsid w:val="001B48D2"/>
    <w:pPr>
      <w:ind w:left="960"/>
    </w:pPr>
    <w:rPr>
      <w:sz w:val="20"/>
      <w:szCs w:val="20"/>
    </w:rPr>
  </w:style>
  <w:style w:type="paragraph" w:styleId="TOC6">
    <w:name w:val="toc 6"/>
    <w:basedOn w:val="Normal"/>
    <w:next w:val="Normal"/>
    <w:autoRedefine/>
    <w:uiPriority w:val="39"/>
    <w:unhideWhenUsed/>
    <w:rsid w:val="001B48D2"/>
    <w:pPr>
      <w:ind w:left="1200"/>
    </w:pPr>
    <w:rPr>
      <w:sz w:val="20"/>
      <w:szCs w:val="20"/>
    </w:rPr>
  </w:style>
  <w:style w:type="paragraph" w:styleId="TOC7">
    <w:name w:val="toc 7"/>
    <w:basedOn w:val="Normal"/>
    <w:next w:val="Normal"/>
    <w:autoRedefine/>
    <w:uiPriority w:val="39"/>
    <w:unhideWhenUsed/>
    <w:rsid w:val="001B48D2"/>
    <w:pPr>
      <w:ind w:left="1440"/>
    </w:pPr>
    <w:rPr>
      <w:sz w:val="20"/>
      <w:szCs w:val="20"/>
    </w:rPr>
  </w:style>
  <w:style w:type="paragraph" w:styleId="TOC8">
    <w:name w:val="toc 8"/>
    <w:basedOn w:val="Normal"/>
    <w:next w:val="Normal"/>
    <w:autoRedefine/>
    <w:uiPriority w:val="39"/>
    <w:unhideWhenUsed/>
    <w:rsid w:val="001B48D2"/>
    <w:pPr>
      <w:ind w:left="1680"/>
    </w:pPr>
    <w:rPr>
      <w:sz w:val="20"/>
      <w:szCs w:val="20"/>
    </w:rPr>
  </w:style>
  <w:style w:type="paragraph" w:styleId="TOC9">
    <w:name w:val="toc 9"/>
    <w:basedOn w:val="Normal"/>
    <w:next w:val="Normal"/>
    <w:autoRedefine/>
    <w:uiPriority w:val="39"/>
    <w:unhideWhenUsed/>
    <w:rsid w:val="001B48D2"/>
    <w:pPr>
      <w:ind w:left="1920"/>
    </w:pPr>
    <w:rPr>
      <w:sz w:val="20"/>
      <w:szCs w:val="20"/>
    </w:rPr>
  </w:style>
  <w:style w:type="paragraph" w:styleId="ListParagraph">
    <w:name w:val="List Paragraph"/>
    <w:basedOn w:val="Normal"/>
    <w:uiPriority w:val="34"/>
    <w:qFormat/>
    <w:rsid w:val="00F514F6"/>
    <w:pPr>
      <w:ind w:left="720"/>
      <w:contextualSpacing/>
    </w:pPr>
  </w:style>
  <w:style w:type="paragraph" w:styleId="Footer">
    <w:name w:val="footer"/>
    <w:basedOn w:val="Normal"/>
    <w:link w:val="FooterChar"/>
    <w:uiPriority w:val="99"/>
    <w:unhideWhenUsed/>
    <w:rsid w:val="005301ED"/>
    <w:pPr>
      <w:tabs>
        <w:tab w:val="center" w:pos="4320"/>
        <w:tab w:val="right" w:pos="8640"/>
      </w:tabs>
    </w:pPr>
  </w:style>
  <w:style w:type="character" w:customStyle="1" w:styleId="FooterChar">
    <w:name w:val="Footer Char"/>
    <w:basedOn w:val="DefaultParagraphFont"/>
    <w:link w:val="Footer"/>
    <w:uiPriority w:val="99"/>
    <w:rsid w:val="005301ED"/>
  </w:style>
  <w:style w:type="character" w:styleId="PageNumber">
    <w:name w:val="page number"/>
    <w:basedOn w:val="DefaultParagraphFont"/>
    <w:uiPriority w:val="99"/>
    <w:semiHidden/>
    <w:unhideWhenUsed/>
    <w:rsid w:val="005301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6F4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465F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4B1756"/>
    <w:pPr>
      <w:spacing w:before="120"/>
    </w:pPr>
    <w:rPr>
      <w:b/>
    </w:rPr>
  </w:style>
  <w:style w:type="character" w:customStyle="1" w:styleId="Heading1Char">
    <w:name w:val="Heading 1 Char"/>
    <w:basedOn w:val="DefaultParagraphFont"/>
    <w:link w:val="Heading1"/>
    <w:uiPriority w:val="9"/>
    <w:rsid w:val="00976F4C"/>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746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465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65F0"/>
    <w:rPr>
      <w:rFonts w:ascii="Lucida Grande" w:hAnsi="Lucida Grande" w:cs="Lucida Grande"/>
      <w:sz w:val="18"/>
      <w:szCs w:val="18"/>
    </w:rPr>
  </w:style>
  <w:style w:type="character" w:customStyle="1" w:styleId="Heading2Char">
    <w:name w:val="Heading 2 Char"/>
    <w:basedOn w:val="DefaultParagraphFont"/>
    <w:link w:val="Heading2"/>
    <w:uiPriority w:val="9"/>
    <w:rsid w:val="007465F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7C7948"/>
    <w:rPr>
      <w:color w:val="0000FF"/>
      <w:u w:val="single"/>
    </w:rPr>
  </w:style>
  <w:style w:type="character" w:styleId="CommentReference">
    <w:name w:val="annotation reference"/>
    <w:basedOn w:val="DefaultParagraphFont"/>
    <w:uiPriority w:val="99"/>
    <w:semiHidden/>
    <w:unhideWhenUsed/>
    <w:rsid w:val="007C7948"/>
    <w:rPr>
      <w:sz w:val="18"/>
      <w:szCs w:val="18"/>
    </w:rPr>
  </w:style>
  <w:style w:type="paragraph" w:styleId="CommentText">
    <w:name w:val="annotation text"/>
    <w:basedOn w:val="Normal"/>
    <w:link w:val="CommentTextChar"/>
    <w:uiPriority w:val="99"/>
    <w:semiHidden/>
    <w:unhideWhenUsed/>
    <w:rsid w:val="007C7948"/>
  </w:style>
  <w:style w:type="character" w:customStyle="1" w:styleId="CommentTextChar">
    <w:name w:val="Comment Text Char"/>
    <w:basedOn w:val="DefaultParagraphFont"/>
    <w:link w:val="CommentText"/>
    <w:uiPriority w:val="99"/>
    <w:semiHidden/>
    <w:rsid w:val="007C7948"/>
  </w:style>
  <w:style w:type="paragraph" w:styleId="TOC2">
    <w:name w:val="toc 2"/>
    <w:basedOn w:val="Normal"/>
    <w:next w:val="Normal"/>
    <w:autoRedefine/>
    <w:uiPriority w:val="39"/>
    <w:unhideWhenUsed/>
    <w:rsid w:val="001B48D2"/>
    <w:pPr>
      <w:ind w:left="240"/>
    </w:pPr>
    <w:rPr>
      <w:b/>
      <w:sz w:val="22"/>
      <w:szCs w:val="22"/>
    </w:rPr>
  </w:style>
  <w:style w:type="paragraph" w:styleId="TOC3">
    <w:name w:val="toc 3"/>
    <w:basedOn w:val="Normal"/>
    <w:next w:val="Normal"/>
    <w:autoRedefine/>
    <w:uiPriority w:val="39"/>
    <w:unhideWhenUsed/>
    <w:rsid w:val="001B48D2"/>
    <w:pPr>
      <w:ind w:left="480"/>
    </w:pPr>
    <w:rPr>
      <w:sz w:val="22"/>
      <w:szCs w:val="22"/>
    </w:rPr>
  </w:style>
  <w:style w:type="paragraph" w:styleId="TOC4">
    <w:name w:val="toc 4"/>
    <w:basedOn w:val="Normal"/>
    <w:next w:val="Normal"/>
    <w:autoRedefine/>
    <w:uiPriority w:val="39"/>
    <w:unhideWhenUsed/>
    <w:rsid w:val="001B48D2"/>
    <w:pPr>
      <w:ind w:left="720"/>
    </w:pPr>
    <w:rPr>
      <w:sz w:val="20"/>
      <w:szCs w:val="20"/>
    </w:rPr>
  </w:style>
  <w:style w:type="paragraph" w:styleId="TOC5">
    <w:name w:val="toc 5"/>
    <w:basedOn w:val="Normal"/>
    <w:next w:val="Normal"/>
    <w:autoRedefine/>
    <w:uiPriority w:val="39"/>
    <w:unhideWhenUsed/>
    <w:rsid w:val="001B48D2"/>
    <w:pPr>
      <w:ind w:left="960"/>
    </w:pPr>
    <w:rPr>
      <w:sz w:val="20"/>
      <w:szCs w:val="20"/>
    </w:rPr>
  </w:style>
  <w:style w:type="paragraph" w:styleId="TOC6">
    <w:name w:val="toc 6"/>
    <w:basedOn w:val="Normal"/>
    <w:next w:val="Normal"/>
    <w:autoRedefine/>
    <w:uiPriority w:val="39"/>
    <w:unhideWhenUsed/>
    <w:rsid w:val="001B48D2"/>
    <w:pPr>
      <w:ind w:left="1200"/>
    </w:pPr>
    <w:rPr>
      <w:sz w:val="20"/>
      <w:szCs w:val="20"/>
    </w:rPr>
  </w:style>
  <w:style w:type="paragraph" w:styleId="TOC7">
    <w:name w:val="toc 7"/>
    <w:basedOn w:val="Normal"/>
    <w:next w:val="Normal"/>
    <w:autoRedefine/>
    <w:uiPriority w:val="39"/>
    <w:unhideWhenUsed/>
    <w:rsid w:val="001B48D2"/>
    <w:pPr>
      <w:ind w:left="1440"/>
    </w:pPr>
    <w:rPr>
      <w:sz w:val="20"/>
      <w:szCs w:val="20"/>
    </w:rPr>
  </w:style>
  <w:style w:type="paragraph" w:styleId="TOC8">
    <w:name w:val="toc 8"/>
    <w:basedOn w:val="Normal"/>
    <w:next w:val="Normal"/>
    <w:autoRedefine/>
    <w:uiPriority w:val="39"/>
    <w:unhideWhenUsed/>
    <w:rsid w:val="001B48D2"/>
    <w:pPr>
      <w:ind w:left="1680"/>
    </w:pPr>
    <w:rPr>
      <w:sz w:val="20"/>
      <w:szCs w:val="20"/>
    </w:rPr>
  </w:style>
  <w:style w:type="paragraph" w:styleId="TOC9">
    <w:name w:val="toc 9"/>
    <w:basedOn w:val="Normal"/>
    <w:next w:val="Normal"/>
    <w:autoRedefine/>
    <w:uiPriority w:val="39"/>
    <w:unhideWhenUsed/>
    <w:rsid w:val="001B48D2"/>
    <w:pPr>
      <w:ind w:left="1920"/>
    </w:pPr>
    <w:rPr>
      <w:sz w:val="20"/>
      <w:szCs w:val="20"/>
    </w:rPr>
  </w:style>
  <w:style w:type="paragraph" w:styleId="ListParagraph">
    <w:name w:val="List Paragraph"/>
    <w:basedOn w:val="Normal"/>
    <w:uiPriority w:val="34"/>
    <w:qFormat/>
    <w:rsid w:val="00F514F6"/>
    <w:pPr>
      <w:ind w:left="720"/>
      <w:contextualSpacing/>
    </w:pPr>
  </w:style>
  <w:style w:type="paragraph" w:styleId="Footer">
    <w:name w:val="footer"/>
    <w:basedOn w:val="Normal"/>
    <w:link w:val="FooterChar"/>
    <w:uiPriority w:val="99"/>
    <w:unhideWhenUsed/>
    <w:rsid w:val="005301ED"/>
    <w:pPr>
      <w:tabs>
        <w:tab w:val="center" w:pos="4320"/>
        <w:tab w:val="right" w:pos="8640"/>
      </w:tabs>
    </w:pPr>
  </w:style>
  <w:style w:type="character" w:customStyle="1" w:styleId="FooterChar">
    <w:name w:val="Footer Char"/>
    <w:basedOn w:val="DefaultParagraphFont"/>
    <w:link w:val="Footer"/>
    <w:uiPriority w:val="99"/>
    <w:rsid w:val="005301ED"/>
  </w:style>
  <w:style w:type="character" w:styleId="PageNumber">
    <w:name w:val="page number"/>
    <w:basedOn w:val="DefaultParagraphFont"/>
    <w:uiPriority w:val="99"/>
    <w:semiHidden/>
    <w:unhideWhenUsed/>
    <w:rsid w:val="00530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3.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hart" Target="charts/chart1.xml"/><Relationship Id="rId10"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reknaczyk:Documents:Academia:Research:state%20developmentalism:state-level%20developmentalism:paper%202%20-%20RIPE%20-%20Polish%20state-developmentalism:data:share%20foreign%20vs.%20domestic%20capital%20banki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areknaczyk:Documents:Academia:Research:state%20developmentalism:state-level%20developmentalism:paper%202%20-%20RIPE%20-%20Polish%20state-developmentalism:data:balance%20sheet%20as%20%25%20GDP.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areknaczyk:Documents:Academia:Research:state%20developmentalism:state-level%20developmentalism:paper%202%20-%20RIPE%20-%20Polish%20state-developmentalism:data:balance%20sheet%20as%20%25%20GDP.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lineChart>
        <c:grouping val="standard"/>
        <c:varyColors val="0"/>
        <c:ser>
          <c:idx val="0"/>
          <c:order val="0"/>
          <c:tx>
            <c:strRef>
              <c:f>Sheet1!$A$2</c:f>
              <c:strCache>
                <c:ptCount val="1"/>
                <c:pt idx="0">
                  <c:v>banks controlled by domestic investors</c:v>
                </c:pt>
              </c:strCache>
            </c:strRef>
          </c:tx>
          <c:cat>
            <c:numRef>
              <c:f>Sheet1!$B$1:$AB$1</c:f>
              <c:numCache>
                <c:formatCode>General</c:formatCode>
                <c:ptCount val="27"/>
                <c:pt idx="0">
                  <c:v>1993.0</c:v>
                </c:pt>
                <c:pt idx="1">
                  <c:v>1994.0</c:v>
                </c:pt>
                <c:pt idx="2">
                  <c:v>1995.0</c:v>
                </c:pt>
                <c:pt idx="3">
                  <c:v>1996.0</c:v>
                </c:pt>
                <c:pt idx="4">
                  <c:v>1997.0</c:v>
                </c:pt>
                <c:pt idx="5">
                  <c:v>1998.0</c:v>
                </c:pt>
                <c:pt idx="6">
                  <c:v>1999.0</c:v>
                </c:pt>
                <c:pt idx="7">
                  <c:v>2000.0</c:v>
                </c:pt>
                <c:pt idx="8">
                  <c:v>2001.0</c:v>
                </c:pt>
                <c:pt idx="9">
                  <c:v>2002.0</c:v>
                </c:pt>
                <c:pt idx="10">
                  <c:v>2003.0</c:v>
                </c:pt>
                <c:pt idx="11">
                  <c:v>2004.0</c:v>
                </c:pt>
                <c:pt idx="12">
                  <c:v>2005.0</c:v>
                </c:pt>
                <c:pt idx="13">
                  <c:v>2006.0</c:v>
                </c:pt>
                <c:pt idx="14">
                  <c:v>2007.0</c:v>
                </c:pt>
                <c:pt idx="15">
                  <c:v>2008.0</c:v>
                </c:pt>
                <c:pt idx="16">
                  <c:v>2009.0</c:v>
                </c:pt>
                <c:pt idx="17">
                  <c:v>2010.0</c:v>
                </c:pt>
                <c:pt idx="18">
                  <c:v>2011.0</c:v>
                </c:pt>
                <c:pt idx="19">
                  <c:v>2012.0</c:v>
                </c:pt>
                <c:pt idx="20">
                  <c:v>2013.0</c:v>
                </c:pt>
                <c:pt idx="21">
                  <c:v>2014.0</c:v>
                </c:pt>
                <c:pt idx="22">
                  <c:v>2015.0</c:v>
                </c:pt>
                <c:pt idx="23">
                  <c:v>2016.0</c:v>
                </c:pt>
                <c:pt idx="24">
                  <c:v>2017.0</c:v>
                </c:pt>
                <c:pt idx="25">
                  <c:v>2018.0</c:v>
                </c:pt>
                <c:pt idx="26">
                  <c:v>2019.0</c:v>
                </c:pt>
              </c:numCache>
            </c:numRef>
          </c:cat>
          <c:val>
            <c:numRef>
              <c:f>Sheet1!$B$2:$AB$2</c:f>
              <c:numCache>
                <c:formatCode>0%</c:formatCode>
                <c:ptCount val="27"/>
                <c:pt idx="0">
                  <c:v>0.974</c:v>
                </c:pt>
                <c:pt idx="1">
                  <c:v>0.968</c:v>
                </c:pt>
                <c:pt idx="2">
                  <c:v>0.958</c:v>
                </c:pt>
                <c:pt idx="3">
                  <c:v>0.863</c:v>
                </c:pt>
                <c:pt idx="4">
                  <c:v>0.847</c:v>
                </c:pt>
                <c:pt idx="5">
                  <c:v>0.834</c:v>
                </c:pt>
                <c:pt idx="6">
                  <c:v>0.528</c:v>
                </c:pt>
                <c:pt idx="7">
                  <c:v>0.305</c:v>
                </c:pt>
                <c:pt idx="8">
                  <c:v>0.313</c:v>
                </c:pt>
                <c:pt idx="9">
                  <c:v>0.326</c:v>
                </c:pt>
                <c:pt idx="10">
                  <c:v>0.322</c:v>
                </c:pt>
                <c:pt idx="11">
                  <c:v>0.325</c:v>
                </c:pt>
                <c:pt idx="12">
                  <c:v>0.3</c:v>
                </c:pt>
                <c:pt idx="13">
                  <c:v>0.303</c:v>
                </c:pt>
                <c:pt idx="14">
                  <c:v>0.291</c:v>
                </c:pt>
                <c:pt idx="15">
                  <c:v>0.277</c:v>
                </c:pt>
                <c:pt idx="16">
                  <c:v>0.319</c:v>
                </c:pt>
                <c:pt idx="17">
                  <c:v>0.338</c:v>
                </c:pt>
                <c:pt idx="18">
                  <c:v>0.35</c:v>
                </c:pt>
                <c:pt idx="19">
                  <c:v>0.364</c:v>
                </c:pt>
                <c:pt idx="20">
                  <c:v>0.368</c:v>
                </c:pt>
                <c:pt idx="21">
                  <c:v>0.385</c:v>
                </c:pt>
                <c:pt idx="22">
                  <c:v>0.41</c:v>
                </c:pt>
                <c:pt idx="23">
                  <c:v>0.434</c:v>
                </c:pt>
                <c:pt idx="24">
                  <c:v>0.545</c:v>
                </c:pt>
                <c:pt idx="25">
                  <c:v>0.536</c:v>
                </c:pt>
                <c:pt idx="26">
                  <c:v>0.537</c:v>
                </c:pt>
              </c:numCache>
            </c:numRef>
          </c:val>
          <c:smooth val="0"/>
        </c:ser>
        <c:ser>
          <c:idx val="1"/>
          <c:order val="1"/>
          <c:tx>
            <c:strRef>
              <c:f>Sheet1!$A$3</c:f>
              <c:strCache>
                <c:ptCount val="1"/>
                <c:pt idx="0">
                  <c:v>banks controlled by foreign investors</c:v>
                </c:pt>
              </c:strCache>
            </c:strRef>
          </c:tx>
          <c:cat>
            <c:numRef>
              <c:f>Sheet1!$B$1:$AB$1</c:f>
              <c:numCache>
                <c:formatCode>General</c:formatCode>
                <c:ptCount val="27"/>
                <c:pt idx="0">
                  <c:v>1993.0</c:v>
                </c:pt>
                <c:pt idx="1">
                  <c:v>1994.0</c:v>
                </c:pt>
                <c:pt idx="2">
                  <c:v>1995.0</c:v>
                </c:pt>
                <c:pt idx="3">
                  <c:v>1996.0</c:v>
                </c:pt>
                <c:pt idx="4">
                  <c:v>1997.0</c:v>
                </c:pt>
                <c:pt idx="5">
                  <c:v>1998.0</c:v>
                </c:pt>
                <c:pt idx="6">
                  <c:v>1999.0</c:v>
                </c:pt>
                <c:pt idx="7">
                  <c:v>2000.0</c:v>
                </c:pt>
                <c:pt idx="8">
                  <c:v>2001.0</c:v>
                </c:pt>
                <c:pt idx="9">
                  <c:v>2002.0</c:v>
                </c:pt>
                <c:pt idx="10">
                  <c:v>2003.0</c:v>
                </c:pt>
                <c:pt idx="11">
                  <c:v>2004.0</c:v>
                </c:pt>
                <c:pt idx="12">
                  <c:v>2005.0</c:v>
                </c:pt>
                <c:pt idx="13">
                  <c:v>2006.0</c:v>
                </c:pt>
                <c:pt idx="14">
                  <c:v>2007.0</c:v>
                </c:pt>
                <c:pt idx="15">
                  <c:v>2008.0</c:v>
                </c:pt>
                <c:pt idx="16">
                  <c:v>2009.0</c:v>
                </c:pt>
                <c:pt idx="17">
                  <c:v>2010.0</c:v>
                </c:pt>
                <c:pt idx="18">
                  <c:v>2011.0</c:v>
                </c:pt>
                <c:pt idx="19">
                  <c:v>2012.0</c:v>
                </c:pt>
                <c:pt idx="20">
                  <c:v>2013.0</c:v>
                </c:pt>
                <c:pt idx="21">
                  <c:v>2014.0</c:v>
                </c:pt>
                <c:pt idx="22">
                  <c:v>2015.0</c:v>
                </c:pt>
                <c:pt idx="23">
                  <c:v>2016.0</c:v>
                </c:pt>
                <c:pt idx="24">
                  <c:v>2017.0</c:v>
                </c:pt>
                <c:pt idx="25">
                  <c:v>2018.0</c:v>
                </c:pt>
                <c:pt idx="26">
                  <c:v>2019.0</c:v>
                </c:pt>
              </c:numCache>
            </c:numRef>
          </c:cat>
          <c:val>
            <c:numRef>
              <c:f>Sheet1!$B$3:$AB$3</c:f>
              <c:numCache>
                <c:formatCode>0%</c:formatCode>
                <c:ptCount val="27"/>
                <c:pt idx="0">
                  <c:v>0.026</c:v>
                </c:pt>
                <c:pt idx="1">
                  <c:v>0.032</c:v>
                </c:pt>
                <c:pt idx="2">
                  <c:v>0.042</c:v>
                </c:pt>
                <c:pt idx="3">
                  <c:v>0.137</c:v>
                </c:pt>
                <c:pt idx="4">
                  <c:v>0.153</c:v>
                </c:pt>
                <c:pt idx="5">
                  <c:v>0.166</c:v>
                </c:pt>
                <c:pt idx="6">
                  <c:v>0.472</c:v>
                </c:pt>
                <c:pt idx="7">
                  <c:v>0.695</c:v>
                </c:pt>
                <c:pt idx="8">
                  <c:v>0.687</c:v>
                </c:pt>
                <c:pt idx="9">
                  <c:v>0.674</c:v>
                </c:pt>
                <c:pt idx="10">
                  <c:v>0.678</c:v>
                </c:pt>
                <c:pt idx="11">
                  <c:v>0.675</c:v>
                </c:pt>
                <c:pt idx="12">
                  <c:v>0.7</c:v>
                </c:pt>
                <c:pt idx="13">
                  <c:v>0.697</c:v>
                </c:pt>
                <c:pt idx="14">
                  <c:v>0.709</c:v>
                </c:pt>
                <c:pt idx="15">
                  <c:v>0.723</c:v>
                </c:pt>
                <c:pt idx="16">
                  <c:v>0.681</c:v>
                </c:pt>
                <c:pt idx="17">
                  <c:v>0.662</c:v>
                </c:pt>
                <c:pt idx="18">
                  <c:v>0.65</c:v>
                </c:pt>
                <c:pt idx="19">
                  <c:v>0.636</c:v>
                </c:pt>
                <c:pt idx="20">
                  <c:v>0.632</c:v>
                </c:pt>
                <c:pt idx="21">
                  <c:v>0.615</c:v>
                </c:pt>
                <c:pt idx="22">
                  <c:v>0.59</c:v>
                </c:pt>
                <c:pt idx="23">
                  <c:v>0.566</c:v>
                </c:pt>
                <c:pt idx="24">
                  <c:v>0.455</c:v>
                </c:pt>
                <c:pt idx="25">
                  <c:v>0.464</c:v>
                </c:pt>
                <c:pt idx="26">
                  <c:v>0.463</c:v>
                </c:pt>
              </c:numCache>
            </c:numRef>
          </c:val>
          <c:smooth val="0"/>
        </c:ser>
        <c:dLbls>
          <c:showLegendKey val="0"/>
          <c:showVal val="0"/>
          <c:showCatName val="0"/>
          <c:showSerName val="0"/>
          <c:showPercent val="0"/>
          <c:showBubbleSize val="0"/>
        </c:dLbls>
        <c:marker val="1"/>
        <c:smooth val="0"/>
        <c:axId val="-2085253672"/>
        <c:axId val="-2078217240"/>
      </c:lineChart>
      <c:catAx>
        <c:axId val="-2085253672"/>
        <c:scaling>
          <c:orientation val="minMax"/>
        </c:scaling>
        <c:delete val="0"/>
        <c:axPos val="b"/>
        <c:numFmt formatCode="General" sourceLinked="1"/>
        <c:majorTickMark val="out"/>
        <c:minorTickMark val="none"/>
        <c:tickLblPos val="nextTo"/>
        <c:crossAx val="-2078217240"/>
        <c:crosses val="autoZero"/>
        <c:auto val="1"/>
        <c:lblAlgn val="ctr"/>
        <c:lblOffset val="100"/>
        <c:noMultiLvlLbl val="0"/>
      </c:catAx>
      <c:valAx>
        <c:axId val="-2078217240"/>
        <c:scaling>
          <c:orientation val="minMax"/>
          <c:max val="1.0"/>
        </c:scaling>
        <c:delete val="0"/>
        <c:axPos val="l"/>
        <c:majorGridlines/>
        <c:numFmt formatCode="0%" sourceLinked="1"/>
        <c:majorTickMark val="out"/>
        <c:minorTickMark val="none"/>
        <c:tickLblPos val="nextTo"/>
        <c:crossAx val="-2085253672"/>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tx>
            <c:strRef>
              <c:f>Poland!$B$24</c:f>
              <c:strCache>
                <c:ptCount val="1"/>
                <c:pt idx="0">
                  <c:v>ARP</c:v>
                </c:pt>
              </c:strCache>
            </c:strRef>
          </c:tx>
          <c:marker>
            <c:symbol val="none"/>
          </c:marker>
          <c:cat>
            <c:numRef>
              <c:f>Poland!$A$25:$A$45</c:f>
              <c:numCache>
                <c:formatCode>General</c:formatCode>
                <c:ptCount val="21"/>
                <c:pt idx="0">
                  <c:v>1999.0</c:v>
                </c:pt>
                <c:pt idx="1">
                  <c:v>2000.0</c:v>
                </c:pt>
                <c:pt idx="2">
                  <c:v>2001.0</c:v>
                </c:pt>
                <c:pt idx="3">
                  <c:v>2002.0</c:v>
                </c:pt>
                <c:pt idx="4">
                  <c:v>2003.0</c:v>
                </c:pt>
                <c:pt idx="5">
                  <c:v>2004.0</c:v>
                </c:pt>
                <c:pt idx="6">
                  <c:v>2005.0</c:v>
                </c:pt>
                <c:pt idx="7">
                  <c:v>2006.0</c:v>
                </c:pt>
                <c:pt idx="8">
                  <c:v>2007.0</c:v>
                </c:pt>
                <c:pt idx="9">
                  <c:v>2008.0</c:v>
                </c:pt>
                <c:pt idx="10">
                  <c:v>2009.0</c:v>
                </c:pt>
                <c:pt idx="11">
                  <c:v>2010.0</c:v>
                </c:pt>
                <c:pt idx="12">
                  <c:v>2011.0</c:v>
                </c:pt>
                <c:pt idx="13">
                  <c:v>2012.0</c:v>
                </c:pt>
                <c:pt idx="14">
                  <c:v>2013.0</c:v>
                </c:pt>
                <c:pt idx="15">
                  <c:v>2014.0</c:v>
                </c:pt>
                <c:pt idx="16">
                  <c:v>2015.0</c:v>
                </c:pt>
                <c:pt idx="17">
                  <c:v>2016.0</c:v>
                </c:pt>
                <c:pt idx="18">
                  <c:v>2017.0</c:v>
                </c:pt>
                <c:pt idx="19">
                  <c:v>2018.0</c:v>
                </c:pt>
                <c:pt idx="20">
                  <c:v>2019.0</c:v>
                </c:pt>
              </c:numCache>
            </c:numRef>
          </c:cat>
          <c:val>
            <c:numRef>
              <c:f>Poland!$B$25:$B$45</c:f>
              <c:numCache>
                <c:formatCode>General</c:formatCode>
                <c:ptCount val="21"/>
                <c:pt idx="4" formatCode="0.00%">
                  <c:v>0.00304705841819063</c:v>
                </c:pt>
                <c:pt idx="5" formatCode="0.00%">
                  <c:v>0.00344616089087327</c:v>
                </c:pt>
                <c:pt idx="6" formatCode="0.00%">
                  <c:v>0.00348822610293316</c:v>
                </c:pt>
                <c:pt idx="7" formatCode="0.00%">
                  <c:v>0.00332821417626638</c:v>
                </c:pt>
                <c:pt idx="8" formatCode="0.00%">
                  <c:v>0.00235830605397417</c:v>
                </c:pt>
                <c:pt idx="9" formatCode="0.00%">
                  <c:v>0.0018068116244074</c:v>
                </c:pt>
                <c:pt idx="10" formatCode="0.00%">
                  <c:v>0.00200638964993645</c:v>
                </c:pt>
                <c:pt idx="11" formatCode="0.00%">
                  <c:v>0.00286308999090152</c:v>
                </c:pt>
                <c:pt idx="12" formatCode="0.00%">
                  <c:v>0.00302755829627322</c:v>
                </c:pt>
                <c:pt idx="13" formatCode="0.00%">
                  <c:v>0.00343242317403992</c:v>
                </c:pt>
                <c:pt idx="14" formatCode="0.00%">
                  <c:v>0.00354066998479083</c:v>
                </c:pt>
                <c:pt idx="15" formatCode="0.00%">
                  <c:v>0.0035229696064356</c:v>
                </c:pt>
                <c:pt idx="16" formatCode="0.00%">
                  <c:v>0.00355668531985948</c:v>
                </c:pt>
                <c:pt idx="17" formatCode="0.00%">
                  <c:v>0.00338620856778098</c:v>
                </c:pt>
                <c:pt idx="18" formatCode="0.00%">
                  <c:v>0.00326413608579138</c:v>
                </c:pt>
                <c:pt idx="19" formatCode="0.00%">
                  <c:v>0.00303816386636492</c:v>
                </c:pt>
              </c:numCache>
            </c:numRef>
          </c:val>
          <c:smooth val="0"/>
        </c:ser>
        <c:ser>
          <c:idx val="1"/>
          <c:order val="1"/>
          <c:tx>
            <c:strRef>
              <c:f>Poland!$C$24</c:f>
              <c:strCache>
                <c:ptCount val="1"/>
                <c:pt idx="0">
                  <c:v>BGK</c:v>
                </c:pt>
              </c:strCache>
            </c:strRef>
          </c:tx>
          <c:marker>
            <c:symbol val="none"/>
          </c:marker>
          <c:cat>
            <c:numRef>
              <c:f>Poland!$A$25:$A$45</c:f>
              <c:numCache>
                <c:formatCode>General</c:formatCode>
                <c:ptCount val="21"/>
                <c:pt idx="0">
                  <c:v>1999.0</c:v>
                </c:pt>
                <c:pt idx="1">
                  <c:v>2000.0</c:v>
                </c:pt>
                <c:pt idx="2">
                  <c:v>2001.0</c:v>
                </c:pt>
                <c:pt idx="3">
                  <c:v>2002.0</c:v>
                </c:pt>
                <c:pt idx="4">
                  <c:v>2003.0</c:v>
                </c:pt>
                <c:pt idx="5">
                  <c:v>2004.0</c:v>
                </c:pt>
                <c:pt idx="6">
                  <c:v>2005.0</c:v>
                </c:pt>
                <c:pt idx="7">
                  <c:v>2006.0</c:v>
                </c:pt>
                <c:pt idx="8">
                  <c:v>2007.0</c:v>
                </c:pt>
                <c:pt idx="9">
                  <c:v>2008.0</c:v>
                </c:pt>
                <c:pt idx="10">
                  <c:v>2009.0</c:v>
                </c:pt>
                <c:pt idx="11">
                  <c:v>2010.0</c:v>
                </c:pt>
                <c:pt idx="12">
                  <c:v>2011.0</c:v>
                </c:pt>
                <c:pt idx="13">
                  <c:v>2012.0</c:v>
                </c:pt>
                <c:pt idx="14">
                  <c:v>2013.0</c:v>
                </c:pt>
                <c:pt idx="15">
                  <c:v>2014.0</c:v>
                </c:pt>
                <c:pt idx="16">
                  <c:v>2015.0</c:v>
                </c:pt>
                <c:pt idx="17">
                  <c:v>2016.0</c:v>
                </c:pt>
                <c:pt idx="18">
                  <c:v>2017.0</c:v>
                </c:pt>
                <c:pt idx="19">
                  <c:v>2018.0</c:v>
                </c:pt>
                <c:pt idx="20">
                  <c:v>2019.0</c:v>
                </c:pt>
              </c:numCache>
            </c:numRef>
          </c:cat>
          <c:val>
            <c:numRef>
              <c:f>Poland!$C$25:$C$45</c:f>
              <c:numCache>
                <c:formatCode>0.00%</c:formatCode>
                <c:ptCount val="21"/>
                <c:pt idx="0">
                  <c:v>0.00349278242413711</c:v>
                </c:pt>
                <c:pt idx="1">
                  <c:v>0.00409697235192067</c:v>
                </c:pt>
                <c:pt idx="2">
                  <c:v>0.00528332960671816</c:v>
                </c:pt>
                <c:pt idx="3">
                  <c:v>0.0085532945891833</c:v>
                </c:pt>
                <c:pt idx="4">
                  <c:v>0.00940329932736751</c:v>
                </c:pt>
                <c:pt idx="5">
                  <c:v>0.0118762279462672</c:v>
                </c:pt>
                <c:pt idx="6">
                  <c:v>0.0185228942277792</c:v>
                </c:pt>
                <c:pt idx="7">
                  <c:v>0.0229608758076095</c:v>
                </c:pt>
                <c:pt idx="8">
                  <c:v>0.0232894203038889</c:v>
                </c:pt>
                <c:pt idx="9">
                  <c:v>0.0266483501274037</c:v>
                </c:pt>
                <c:pt idx="10">
                  <c:v>0.0240893428693026</c:v>
                </c:pt>
                <c:pt idx="11">
                  <c:v>0.0248880922052699</c:v>
                </c:pt>
                <c:pt idx="12">
                  <c:v>0.0254111080759549</c:v>
                </c:pt>
                <c:pt idx="13">
                  <c:v>0.0298782957178146</c:v>
                </c:pt>
                <c:pt idx="14">
                  <c:v>0.0264644410176867</c:v>
                </c:pt>
                <c:pt idx="15">
                  <c:v>0.0297782531111408</c:v>
                </c:pt>
                <c:pt idx="16">
                  <c:v>0.0241186671910447</c:v>
                </c:pt>
                <c:pt idx="17">
                  <c:v>0.0361387041725592</c:v>
                </c:pt>
                <c:pt idx="18">
                  <c:v>0.0373566038342866</c:v>
                </c:pt>
                <c:pt idx="19">
                  <c:v>0.0400687185915397</c:v>
                </c:pt>
                <c:pt idx="20">
                  <c:v>0.044249734776711</c:v>
                </c:pt>
              </c:numCache>
            </c:numRef>
          </c:val>
          <c:smooth val="0"/>
        </c:ser>
        <c:ser>
          <c:idx val="2"/>
          <c:order val="2"/>
          <c:tx>
            <c:strRef>
              <c:f>Poland!$D$24</c:f>
              <c:strCache>
                <c:ptCount val="1"/>
                <c:pt idx="0">
                  <c:v>PIR/PFR</c:v>
                </c:pt>
              </c:strCache>
            </c:strRef>
          </c:tx>
          <c:marker>
            <c:symbol val="none"/>
          </c:marker>
          <c:cat>
            <c:numRef>
              <c:f>Poland!$A$25:$A$45</c:f>
              <c:numCache>
                <c:formatCode>General</c:formatCode>
                <c:ptCount val="21"/>
                <c:pt idx="0">
                  <c:v>1999.0</c:v>
                </c:pt>
                <c:pt idx="1">
                  <c:v>2000.0</c:v>
                </c:pt>
                <c:pt idx="2">
                  <c:v>2001.0</c:v>
                </c:pt>
                <c:pt idx="3">
                  <c:v>2002.0</c:v>
                </c:pt>
                <c:pt idx="4">
                  <c:v>2003.0</c:v>
                </c:pt>
                <c:pt idx="5">
                  <c:v>2004.0</c:v>
                </c:pt>
                <c:pt idx="6">
                  <c:v>2005.0</c:v>
                </c:pt>
                <c:pt idx="7">
                  <c:v>2006.0</c:v>
                </c:pt>
                <c:pt idx="8">
                  <c:v>2007.0</c:v>
                </c:pt>
                <c:pt idx="9">
                  <c:v>2008.0</c:v>
                </c:pt>
                <c:pt idx="10">
                  <c:v>2009.0</c:v>
                </c:pt>
                <c:pt idx="11">
                  <c:v>2010.0</c:v>
                </c:pt>
                <c:pt idx="12">
                  <c:v>2011.0</c:v>
                </c:pt>
                <c:pt idx="13">
                  <c:v>2012.0</c:v>
                </c:pt>
                <c:pt idx="14">
                  <c:v>2013.0</c:v>
                </c:pt>
                <c:pt idx="15">
                  <c:v>2014.0</c:v>
                </c:pt>
                <c:pt idx="16">
                  <c:v>2015.0</c:v>
                </c:pt>
                <c:pt idx="17">
                  <c:v>2016.0</c:v>
                </c:pt>
                <c:pt idx="18">
                  <c:v>2017.0</c:v>
                </c:pt>
                <c:pt idx="19">
                  <c:v>2018.0</c:v>
                </c:pt>
                <c:pt idx="20">
                  <c:v>2019.0</c:v>
                </c:pt>
              </c:numCache>
            </c:numRef>
          </c:cat>
          <c:val>
            <c:numRef>
              <c:f>Poland!$D$25:$D$45</c:f>
              <c:numCache>
                <c:formatCode>General</c:formatCode>
                <c:ptCount val="21"/>
                <c:pt idx="14" formatCode="0.00%">
                  <c:v>4.54316820317522E-6</c:v>
                </c:pt>
                <c:pt idx="15" formatCode="0.00%">
                  <c:v>0.000698603990996437</c:v>
                </c:pt>
                <c:pt idx="16" formatCode="0.00%">
                  <c:v>0.000688801640681069</c:v>
                </c:pt>
                <c:pt idx="17" formatCode="0.00%">
                  <c:v>0.00069021502024596</c:v>
                </c:pt>
                <c:pt idx="18" formatCode="0.00%">
                  <c:v>0.0032600430510769</c:v>
                </c:pt>
                <c:pt idx="19" formatCode="0.00%">
                  <c:v>0.00278791284093186</c:v>
                </c:pt>
                <c:pt idx="20" formatCode="0.00%">
                  <c:v>0.00279226003884663</c:v>
                </c:pt>
              </c:numCache>
            </c:numRef>
          </c:val>
          <c:smooth val="0"/>
        </c:ser>
        <c:dLbls>
          <c:showLegendKey val="0"/>
          <c:showVal val="0"/>
          <c:showCatName val="0"/>
          <c:showSerName val="0"/>
          <c:showPercent val="0"/>
          <c:showBubbleSize val="0"/>
        </c:dLbls>
        <c:marker val="1"/>
        <c:smooth val="0"/>
        <c:axId val="-2084870920"/>
        <c:axId val="-2076249448"/>
      </c:lineChart>
      <c:catAx>
        <c:axId val="-2084870920"/>
        <c:scaling>
          <c:orientation val="minMax"/>
        </c:scaling>
        <c:delete val="0"/>
        <c:axPos val="b"/>
        <c:numFmt formatCode="General" sourceLinked="1"/>
        <c:majorTickMark val="out"/>
        <c:minorTickMark val="none"/>
        <c:tickLblPos val="nextTo"/>
        <c:crossAx val="-2076249448"/>
        <c:crosses val="autoZero"/>
        <c:auto val="1"/>
        <c:lblAlgn val="ctr"/>
        <c:lblOffset val="100"/>
        <c:noMultiLvlLbl val="0"/>
      </c:catAx>
      <c:valAx>
        <c:axId val="-2076249448"/>
        <c:scaling>
          <c:orientation val="minMax"/>
        </c:scaling>
        <c:delete val="0"/>
        <c:axPos val="l"/>
        <c:majorGridlines/>
        <c:numFmt formatCode="0.0%" sourceLinked="0"/>
        <c:majorTickMark val="out"/>
        <c:minorTickMark val="none"/>
        <c:tickLblPos val="nextTo"/>
        <c:crossAx val="-2084870920"/>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tx>
            <c:strRef>
              <c:f>'CEE countries'!$B$24</c:f>
              <c:strCache>
                <c:ptCount val="1"/>
                <c:pt idx="0">
                  <c:v>BGK (PL)</c:v>
                </c:pt>
              </c:strCache>
            </c:strRef>
          </c:tx>
          <c:marker>
            <c:symbol val="none"/>
          </c:marker>
          <c:cat>
            <c:numRef>
              <c:f>'CEE countries'!$A$25:$A$45</c:f>
              <c:numCache>
                <c:formatCode>General</c:formatCode>
                <c:ptCount val="21"/>
                <c:pt idx="0">
                  <c:v>1999.0</c:v>
                </c:pt>
                <c:pt idx="1">
                  <c:v>2000.0</c:v>
                </c:pt>
                <c:pt idx="2">
                  <c:v>2001.0</c:v>
                </c:pt>
                <c:pt idx="3">
                  <c:v>2002.0</c:v>
                </c:pt>
                <c:pt idx="4">
                  <c:v>2003.0</c:v>
                </c:pt>
                <c:pt idx="5">
                  <c:v>2004.0</c:v>
                </c:pt>
                <c:pt idx="6">
                  <c:v>2005.0</c:v>
                </c:pt>
                <c:pt idx="7">
                  <c:v>2006.0</c:v>
                </c:pt>
                <c:pt idx="8">
                  <c:v>2007.0</c:v>
                </c:pt>
                <c:pt idx="9">
                  <c:v>2008.0</c:v>
                </c:pt>
                <c:pt idx="10">
                  <c:v>2009.0</c:v>
                </c:pt>
                <c:pt idx="11">
                  <c:v>2010.0</c:v>
                </c:pt>
                <c:pt idx="12">
                  <c:v>2011.0</c:v>
                </c:pt>
                <c:pt idx="13">
                  <c:v>2012.0</c:v>
                </c:pt>
                <c:pt idx="14">
                  <c:v>2013.0</c:v>
                </c:pt>
                <c:pt idx="15">
                  <c:v>2014.0</c:v>
                </c:pt>
                <c:pt idx="16">
                  <c:v>2015.0</c:v>
                </c:pt>
                <c:pt idx="17">
                  <c:v>2016.0</c:v>
                </c:pt>
                <c:pt idx="18">
                  <c:v>2017.0</c:v>
                </c:pt>
                <c:pt idx="19">
                  <c:v>2018.0</c:v>
                </c:pt>
                <c:pt idx="20">
                  <c:v>2019.0</c:v>
                </c:pt>
              </c:numCache>
            </c:numRef>
          </c:cat>
          <c:val>
            <c:numRef>
              <c:f>'CEE countries'!$B$25:$B$45</c:f>
              <c:numCache>
                <c:formatCode>0.00%</c:formatCode>
                <c:ptCount val="21"/>
                <c:pt idx="0">
                  <c:v>0.00349278242413711</c:v>
                </c:pt>
                <c:pt idx="1">
                  <c:v>0.00409697235192067</c:v>
                </c:pt>
                <c:pt idx="2">
                  <c:v>0.00528332960671816</c:v>
                </c:pt>
                <c:pt idx="3">
                  <c:v>0.0085532945891833</c:v>
                </c:pt>
                <c:pt idx="4">
                  <c:v>0.00940329932736751</c:v>
                </c:pt>
                <c:pt idx="5">
                  <c:v>0.0118762279462672</c:v>
                </c:pt>
                <c:pt idx="6">
                  <c:v>0.0185228942277792</c:v>
                </c:pt>
                <c:pt idx="7">
                  <c:v>0.0229608758076095</c:v>
                </c:pt>
                <c:pt idx="8">
                  <c:v>0.0232894203038889</c:v>
                </c:pt>
                <c:pt idx="9">
                  <c:v>0.0266483501274037</c:v>
                </c:pt>
                <c:pt idx="10">
                  <c:v>0.0240893428693026</c:v>
                </c:pt>
                <c:pt idx="11">
                  <c:v>0.0248880922052699</c:v>
                </c:pt>
                <c:pt idx="12">
                  <c:v>0.0254112864777098</c:v>
                </c:pt>
                <c:pt idx="13">
                  <c:v>0.0298789008415409</c:v>
                </c:pt>
                <c:pt idx="14">
                  <c:v>0.0264652875772101</c:v>
                </c:pt>
                <c:pt idx="15">
                  <c:v>0.0297908244674665</c:v>
                </c:pt>
                <c:pt idx="16">
                  <c:v>0.0241308249056172</c:v>
                </c:pt>
                <c:pt idx="17">
                  <c:v>0.0363327731473754</c:v>
                </c:pt>
                <c:pt idx="18">
                  <c:v>0.0373566038342866</c:v>
                </c:pt>
                <c:pt idx="19">
                  <c:v>0.0399778663321512</c:v>
                </c:pt>
                <c:pt idx="20">
                  <c:v>0.044249734776711</c:v>
                </c:pt>
              </c:numCache>
            </c:numRef>
          </c:val>
          <c:smooth val="0"/>
        </c:ser>
        <c:ser>
          <c:idx val="1"/>
          <c:order val="1"/>
          <c:tx>
            <c:strRef>
              <c:f>'CEE countries'!$C$24</c:f>
              <c:strCache>
                <c:ptCount val="1"/>
                <c:pt idx="0">
                  <c:v>CMZRB CZ)</c:v>
                </c:pt>
              </c:strCache>
            </c:strRef>
          </c:tx>
          <c:marker>
            <c:symbol val="none"/>
          </c:marker>
          <c:cat>
            <c:numRef>
              <c:f>'CEE countries'!$A$25:$A$45</c:f>
              <c:numCache>
                <c:formatCode>General</c:formatCode>
                <c:ptCount val="21"/>
                <c:pt idx="0">
                  <c:v>1999.0</c:v>
                </c:pt>
                <c:pt idx="1">
                  <c:v>2000.0</c:v>
                </c:pt>
                <c:pt idx="2">
                  <c:v>2001.0</c:v>
                </c:pt>
                <c:pt idx="3">
                  <c:v>2002.0</c:v>
                </c:pt>
                <c:pt idx="4">
                  <c:v>2003.0</c:v>
                </c:pt>
                <c:pt idx="5">
                  <c:v>2004.0</c:v>
                </c:pt>
                <c:pt idx="6">
                  <c:v>2005.0</c:v>
                </c:pt>
                <c:pt idx="7">
                  <c:v>2006.0</c:v>
                </c:pt>
                <c:pt idx="8">
                  <c:v>2007.0</c:v>
                </c:pt>
                <c:pt idx="9">
                  <c:v>2008.0</c:v>
                </c:pt>
                <c:pt idx="10">
                  <c:v>2009.0</c:v>
                </c:pt>
                <c:pt idx="11">
                  <c:v>2010.0</c:v>
                </c:pt>
                <c:pt idx="12">
                  <c:v>2011.0</c:v>
                </c:pt>
                <c:pt idx="13">
                  <c:v>2012.0</c:v>
                </c:pt>
                <c:pt idx="14">
                  <c:v>2013.0</c:v>
                </c:pt>
                <c:pt idx="15">
                  <c:v>2014.0</c:v>
                </c:pt>
                <c:pt idx="16">
                  <c:v>2015.0</c:v>
                </c:pt>
                <c:pt idx="17">
                  <c:v>2016.0</c:v>
                </c:pt>
                <c:pt idx="18">
                  <c:v>2017.0</c:v>
                </c:pt>
                <c:pt idx="19">
                  <c:v>2018.0</c:v>
                </c:pt>
                <c:pt idx="20">
                  <c:v>2019.0</c:v>
                </c:pt>
              </c:numCache>
            </c:numRef>
          </c:cat>
          <c:val>
            <c:numRef>
              <c:f>'CEE countries'!$C$25:$C$45</c:f>
              <c:numCache>
                <c:formatCode>0.00%</c:formatCode>
                <c:ptCount val="21"/>
                <c:pt idx="0">
                  <c:v>0.00806861524863573</c:v>
                </c:pt>
                <c:pt idx="1">
                  <c:v>0.0189224310569965</c:v>
                </c:pt>
                <c:pt idx="2">
                  <c:v>0.0280021212400844</c:v>
                </c:pt>
                <c:pt idx="3">
                  <c:v>0.0334708857700724</c:v>
                </c:pt>
                <c:pt idx="4">
                  <c:v>0.0170759704552619</c:v>
                </c:pt>
                <c:pt idx="5">
                  <c:v>0.0158115544316892</c:v>
                </c:pt>
                <c:pt idx="6">
                  <c:v>0.0146511518926434</c:v>
                </c:pt>
                <c:pt idx="7">
                  <c:v>0.0147196052833098</c:v>
                </c:pt>
                <c:pt idx="8">
                  <c:v>0.0148576202235505</c:v>
                </c:pt>
                <c:pt idx="9">
                  <c:v>0.0187447333166506</c:v>
                </c:pt>
                <c:pt idx="10">
                  <c:v>0.0158087873297664</c:v>
                </c:pt>
                <c:pt idx="11">
                  <c:v>0.014674455086532</c:v>
                </c:pt>
                <c:pt idx="12">
                  <c:v>0.0145521976421473</c:v>
                </c:pt>
                <c:pt idx="13">
                  <c:v>0.0275143894744517</c:v>
                </c:pt>
                <c:pt idx="14">
                  <c:v>0.0239236060952708</c:v>
                </c:pt>
                <c:pt idx="15">
                  <c:v>0.0295185972239254</c:v>
                </c:pt>
                <c:pt idx="16">
                  <c:v>0.00674509653741267</c:v>
                </c:pt>
                <c:pt idx="17">
                  <c:v>0.00575624995700324</c:v>
                </c:pt>
                <c:pt idx="18">
                  <c:v>0.00458563461320595</c:v>
                </c:pt>
                <c:pt idx="19">
                  <c:v>0.00445665425348407</c:v>
                </c:pt>
                <c:pt idx="20">
                  <c:v>0.00417192295676146</c:v>
                </c:pt>
              </c:numCache>
            </c:numRef>
          </c:val>
          <c:smooth val="0"/>
        </c:ser>
        <c:ser>
          <c:idx val="2"/>
          <c:order val="2"/>
          <c:tx>
            <c:strRef>
              <c:f>'CEE countries'!$D$24</c:f>
              <c:strCache>
                <c:ptCount val="1"/>
                <c:pt idx="0">
                  <c:v>MFB (HU)</c:v>
                </c:pt>
              </c:strCache>
            </c:strRef>
          </c:tx>
          <c:marker>
            <c:symbol val="none"/>
          </c:marker>
          <c:cat>
            <c:numRef>
              <c:f>'CEE countries'!$A$25:$A$45</c:f>
              <c:numCache>
                <c:formatCode>General</c:formatCode>
                <c:ptCount val="21"/>
                <c:pt idx="0">
                  <c:v>1999.0</c:v>
                </c:pt>
                <c:pt idx="1">
                  <c:v>2000.0</c:v>
                </c:pt>
                <c:pt idx="2">
                  <c:v>2001.0</c:v>
                </c:pt>
                <c:pt idx="3">
                  <c:v>2002.0</c:v>
                </c:pt>
                <c:pt idx="4">
                  <c:v>2003.0</c:v>
                </c:pt>
                <c:pt idx="5">
                  <c:v>2004.0</c:v>
                </c:pt>
                <c:pt idx="6">
                  <c:v>2005.0</c:v>
                </c:pt>
                <c:pt idx="7">
                  <c:v>2006.0</c:v>
                </c:pt>
                <c:pt idx="8">
                  <c:v>2007.0</c:v>
                </c:pt>
                <c:pt idx="9">
                  <c:v>2008.0</c:v>
                </c:pt>
                <c:pt idx="10">
                  <c:v>2009.0</c:v>
                </c:pt>
                <c:pt idx="11">
                  <c:v>2010.0</c:v>
                </c:pt>
                <c:pt idx="12">
                  <c:v>2011.0</c:v>
                </c:pt>
                <c:pt idx="13">
                  <c:v>2012.0</c:v>
                </c:pt>
                <c:pt idx="14">
                  <c:v>2013.0</c:v>
                </c:pt>
                <c:pt idx="15">
                  <c:v>2014.0</c:v>
                </c:pt>
                <c:pt idx="16">
                  <c:v>2015.0</c:v>
                </c:pt>
                <c:pt idx="17">
                  <c:v>2016.0</c:v>
                </c:pt>
                <c:pt idx="18">
                  <c:v>2017.0</c:v>
                </c:pt>
                <c:pt idx="19">
                  <c:v>2018.0</c:v>
                </c:pt>
                <c:pt idx="20">
                  <c:v>2019.0</c:v>
                </c:pt>
              </c:numCache>
            </c:numRef>
          </c:cat>
          <c:val>
            <c:numRef>
              <c:f>'CEE countries'!$D$25:$D$45</c:f>
              <c:numCache>
                <c:formatCode>General</c:formatCode>
                <c:ptCount val="21"/>
                <c:pt idx="3" formatCode="0.00%">
                  <c:v>0.0291165965696789</c:v>
                </c:pt>
                <c:pt idx="4" formatCode="0.00%">
                  <c:v>0.0278648793322845</c:v>
                </c:pt>
                <c:pt idx="5" formatCode="0.00%">
                  <c:v>0.0288377887167915</c:v>
                </c:pt>
                <c:pt idx="6" formatCode="0.00%">
                  <c:v>0.034802051123943</c:v>
                </c:pt>
                <c:pt idx="7" formatCode="0.00%">
                  <c:v>0.0429412104207912</c:v>
                </c:pt>
                <c:pt idx="8" formatCode="0.00%">
                  <c:v>0.0348514380459132</c:v>
                </c:pt>
                <c:pt idx="9" formatCode="0.00%">
                  <c:v>0.0379661277899257</c:v>
                </c:pt>
                <c:pt idx="10" formatCode="0.00%">
                  <c:v>0.0431944025518557</c:v>
                </c:pt>
                <c:pt idx="11" formatCode="0.00%">
                  <c:v>0.0439053898892043</c:v>
                </c:pt>
                <c:pt idx="12" formatCode="0.00%">
                  <c:v>0.0487182204574539</c:v>
                </c:pt>
                <c:pt idx="13" formatCode="0.00%">
                  <c:v>0.0384818236711563</c:v>
                </c:pt>
                <c:pt idx="14" formatCode="0.00%">
                  <c:v>0.0366681449469716</c:v>
                </c:pt>
                <c:pt idx="15" formatCode="0.00%">
                  <c:v>0.0335153098683376</c:v>
                </c:pt>
                <c:pt idx="16" formatCode="0.00%">
                  <c:v>0.0388701589328537</c:v>
                </c:pt>
                <c:pt idx="17" formatCode="0.00%">
                  <c:v>0.0360700672205227</c:v>
                </c:pt>
                <c:pt idx="18" formatCode="0.00%">
                  <c:v>0.0336239878743062</c:v>
                </c:pt>
                <c:pt idx="19" formatCode="0.00%">
                  <c:v>0.0316053903485799</c:v>
                </c:pt>
                <c:pt idx="20" formatCode="0.00%">
                  <c:v>0.0306993989789494</c:v>
                </c:pt>
              </c:numCache>
            </c:numRef>
          </c:val>
          <c:smooth val="0"/>
        </c:ser>
        <c:ser>
          <c:idx val="3"/>
          <c:order val="3"/>
          <c:tx>
            <c:strRef>
              <c:f>'CEE countries'!$E$24</c:f>
              <c:strCache>
                <c:ptCount val="1"/>
                <c:pt idx="0">
                  <c:v>SZRB (SK)</c:v>
                </c:pt>
              </c:strCache>
            </c:strRef>
          </c:tx>
          <c:marker>
            <c:symbol val="none"/>
          </c:marker>
          <c:cat>
            <c:numRef>
              <c:f>'CEE countries'!$A$25:$A$45</c:f>
              <c:numCache>
                <c:formatCode>General</c:formatCode>
                <c:ptCount val="21"/>
                <c:pt idx="0">
                  <c:v>1999.0</c:v>
                </c:pt>
                <c:pt idx="1">
                  <c:v>2000.0</c:v>
                </c:pt>
                <c:pt idx="2">
                  <c:v>2001.0</c:v>
                </c:pt>
                <c:pt idx="3">
                  <c:v>2002.0</c:v>
                </c:pt>
                <c:pt idx="4">
                  <c:v>2003.0</c:v>
                </c:pt>
                <c:pt idx="5">
                  <c:v>2004.0</c:v>
                </c:pt>
                <c:pt idx="6">
                  <c:v>2005.0</c:v>
                </c:pt>
                <c:pt idx="7">
                  <c:v>2006.0</c:v>
                </c:pt>
                <c:pt idx="8">
                  <c:v>2007.0</c:v>
                </c:pt>
                <c:pt idx="9">
                  <c:v>2008.0</c:v>
                </c:pt>
                <c:pt idx="10">
                  <c:v>2009.0</c:v>
                </c:pt>
                <c:pt idx="11">
                  <c:v>2010.0</c:v>
                </c:pt>
                <c:pt idx="12">
                  <c:v>2011.0</c:v>
                </c:pt>
                <c:pt idx="13">
                  <c:v>2012.0</c:v>
                </c:pt>
                <c:pt idx="14">
                  <c:v>2013.0</c:v>
                </c:pt>
                <c:pt idx="15">
                  <c:v>2014.0</c:v>
                </c:pt>
                <c:pt idx="16">
                  <c:v>2015.0</c:v>
                </c:pt>
                <c:pt idx="17">
                  <c:v>2016.0</c:v>
                </c:pt>
                <c:pt idx="18">
                  <c:v>2017.0</c:v>
                </c:pt>
                <c:pt idx="19">
                  <c:v>2018.0</c:v>
                </c:pt>
                <c:pt idx="20">
                  <c:v>2019.0</c:v>
                </c:pt>
              </c:numCache>
            </c:numRef>
          </c:cat>
          <c:val>
            <c:numRef>
              <c:f>'CEE countries'!$E$25:$E$45</c:f>
              <c:numCache>
                <c:formatCode>0.00%</c:formatCode>
                <c:ptCount val="21"/>
                <c:pt idx="0">
                  <c:v>0.00719234907969145</c:v>
                </c:pt>
                <c:pt idx="1">
                  <c:v>0.00752662155329348</c:v>
                </c:pt>
                <c:pt idx="2">
                  <c:v>0.013796471046716</c:v>
                </c:pt>
                <c:pt idx="3">
                  <c:v>0.0136890033951318</c:v>
                </c:pt>
                <c:pt idx="4">
                  <c:v>0.0115341458354677</c:v>
                </c:pt>
                <c:pt idx="5">
                  <c:v>0.0109804214963336</c:v>
                </c:pt>
                <c:pt idx="6">
                  <c:v>0.00987559101507182</c:v>
                </c:pt>
                <c:pt idx="7">
                  <c:v>0.00938479253145823</c:v>
                </c:pt>
                <c:pt idx="8">
                  <c:v>0.00840960271591194</c:v>
                </c:pt>
                <c:pt idx="9">
                  <c:v>0.00699872413524109</c:v>
                </c:pt>
                <c:pt idx="10">
                  <c:v>0.00760136044646385</c:v>
                </c:pt>
                <c:pt idx="11">
                  <c:v>0.00749677776413085</c:v>
                </c:pt>
                <c:pt idx="12">
                  <c:v>0.00694936228535182</c:v>
                </c:pt>
                <c:pt idx="13">
                  <c:v>0.00652755369411376</c:v>
                </c:pt>
                <c:pt idx="14">
                  <c:v>0.00643974172811342</c:v>
                </c:pt>
                <c:pt idx="15">
                  <c:v>0.00742772534313674</c:v>
                </c:pt>
                <c:pt idx="16">
                  <c:v>0.00724887399981699</c:v>
                </c:pt>
                <c:pt idx="17">
                  <c:v>0.00713637872462774</c:v>
                </c:pt>
                <c:pt idx="18">
                  <c:v>0.00654480769321779</c:v>
                </c:pt>
                <c:pt idx="19">
                  <c:v>0.0061052118219894</c:v>
                </c:pt>
                <c:pt idx="20">
                  <c:v>0.00518086208947109</c:v>
                </c:pt>
              </c:numCache>
            </c:numRef>
          </c:val>
          <c:smooth val="0"/>
        </c:ser>
        <c:dLbls>
          <c:showLegendKey val="0"/>
          <c:showVal val="0"/>
          <c:showCatName val="0"/>
          <c:showSerName val="0"/>
          <c:showPercent val="0"/>
          <c:showBubbleSize val="0"/>
        </c:dLbls>
        <c:marker val="1"/>
        <c:smooth val="0"/>
        <c:axId val="-2075629592"/>
        <c:axId val="-2084928520"/>
      </c:lineChart>
      <c:catAx>
        <c:axId val="-2075629592"/>
        <c:scaling>
          <c:orientation val="minMax"/>
        </c:scaling>
        <c:delete val="0"/>
        <c:axPos val="b"/>
        <c:numFmt formatCode="General" sourceLinked="1"/>
        <c:majorTickMark val="out"/>
        <c:minorTickMark val="none"/>
        <c:tickLblPos val="nextTo"/>
        <c:crossAx val="-2084928520"/>
        <c:crosses val="autoZero"/>
        <c:auto val="1"/>
        <c:lblAlgn val="ctr"/>
        <c:lblOffset val="100"/>
        <c:noMultiLvlLbl val="0"/>
      </c:catAx>
      <c:valAx>
        <c:axId val="-2084928520"/>
        <c:scaling>
          <c:orientation val="minMax"/>
        </c:scaling>
        <c:delete val="0"/>
        <c:axPos val="l"/>
        <c:majorGridlines/>
        <c:numFmt formatCode="0.00%" sourceLinked="1"/>
        <c:majorTickMark val="out"/>
        <c:minorTickMark val="none"/>
        <c:tickLblPos val="nextTo"/>
        <c:crossAx val="-2075629592"/>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97CF9-683E-AC4F-B008-2E9FDA6F6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1586</Words>
  <Characters>9806</Characters>
  <Application>Microsoft Macintosh Word</Application>
  <DocSecurity>0</DocSecurity>
  <Lines>158</Lines>
  <Paragraphs>32</Paragraphs>
  <ScaleCrop>false</ScaleCrop>
  <Company/>
  <LinksUpToDate>false</LinksUpToDate>
  <CharactersWithSpaces>11360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cp:lastModifiedBy>
  <cp:revision>26</cp:revision>
  <dcterms:created xsi:type="dcterms:W3CDTF">2020-09-22T21:27:00Z</dcterms:created>
  <dcterms:modified xsi:type="dcterms:W3CDTF">2021-04-12T12:06:00Z</dcterms:modified>
</cp:coreProperties>
</file>